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https://www.autoritedelaconcurrence.fr/fr/decision-de-controle-des-concentrations/relative-la-prise-de-controle-exclusif-du-groupe-leon-de</w:t>
      </w:r>
    </w:p>
    <w:p>
      <w:r>
        <w:t>Pages translated : 2</w:t>
      </w:r>
    </w:p>
    <w:p/>
    <w:p>
      <w:r>
        <w:rPr>
          <w:b/>
        </w:rPr>
        <w:t>[Pages 1–2]</w:t>
      </w:r>
    </w:p>
    <w:p>
      <w:r>
        <w:t xml:space="preserve">FRENCH REPUBLIC  </w:t>
        <w:br/>
        <w:t xml:space="preserve">Decision No. 19-DCC-233 of December 4, 2019  </w:t>
        <w:br/>
        <w:t xml:space="preserve">regarding the exclusive control acquisition of the Léon de Bruxelles group by  </w:t>
        <w:br/>
        <w:t>the Bertrand group</w:t>
      </w:r>
    </w:p>
    <w:p>
      <w:r>
        <w:t>The Competition Authority,</w:t>
      </w:r>
    </w:p>
    <w:p>
      <w:r>
        <w:t xml:space="preserve">Having regard to the complete notification file sent to the mergers department on October 30, 2019,  </w:t>
        <w:br/>
        <w:t xml:space="preserve">concerning the exclusive control acquisition of the Léon de Bruxelles group by the Bertrand group,  </w:t>
        <w:br/>
        <w:t>formalized by a unilateral promise to purchase shares dated July 25, 2019;</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of the Léon de Bruxelles group by  </w:t>
        <w:br/>
        <w:t xml:space="preserve">the Bertrand group. It constitutes a concentration within the meaning of Article L. 430-1 of the Commercial Code.  </w:t>
        <w:br/>
        <w:t xml:space="preserve">Given the turnover generated by the companies concerned, the operation does not fall under the jurisdiction of the European Union.  </w:t>
        <w:br/>
        <w:t xml:space="preserve">On the other hand, the control thresholds related to retail trade mentioned in II of Article L. 430-2 of the Commercial Code are exceeded.  </w:t>
        <w:br/>
        <w:t>This operation is therefore subject to the provisions of Articles L. 430-3 and following of the Commercial Code relating to economic concentration.</w:t>
      </w:r>
    </w:p>
    <w:p>
      <w:r>
        <w:t>2. The markets concerned by the operation are those of the supply of food products and commercial catering, which are consistently defined by the decision-making practice of the Competition Authority.</w:t>
      </w:r>
    </w:p>
    <w:p>
      <w:r>
        <w:t>3. Regardless of the segmentations retained, the combined market shares of the parties are below 25%.</w:t>
      </w:r>
    </w:p>
    <w:p>
      <w: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19-213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