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https://www.autoritedelaconcurrence.fr/fr/decision-de-controle-des-concentrations/relative-la-prise-de-controle-exclusif-du-groupe-lest</w:t>
      </w:r>
    </w:p>
    <w:p>
      <w:r>
        <w:t>Pages translated : 19</w:t>
      </w:r>
    </w:p>
    <w:p/>
    <w:p>
      <w:r>
        <w:rPr>
          <w:b/>
        </w:rPr>
        <w:t>[Pages 1–3]</w:t>
      </w:r>
    </w:p>
    <w:p>
      <w:r>
        <w:t>FRENCH REPUBLIC</w:t>
        <w:br/>
        <w:t>Decision No. 11-DCC-114 of July 12, 2011</w:t>
        <w:br/>
        <w:t>regarding the exclusive control of the l’Est Républicain group by</w:t>
        <w:br/>
        <w:t>the Banque Fédérative du Crédit Mutuel</w:t>
        <w:br/>
        <w:t>The Competition Authority,</w:t>
        <w:br/>
        <w:t>Having regard to the notification file sent to the concentrations service on February 7, 2011, and declared complete on May 31, 2011, regarding the exclusive control of the l’Est Républicain group by the Banque Fédérative du Crédit Mutuel, formalized by a resolution of the board of directors of l’Est Républicain;</w:t>
        <w:br/>
        <w:t>Having regard to Book IV of the Commercial Code relating to the freedom of prices and competition, and in particular its Articles L. 430-1 to L. 430-7;</w:t>
        <w:br/>
        <w:t>Having regard to the supplementary elements transmitted by the parties during the investigation;</w:t>
        <w:br/>
        <w:t>Having regard to the commitments presented on June 24, 2011, and last modified on July 11, 2011, by the notifying party;</w:t>
        <w:br/>
        <w:t>Adopts the following decision:</w:t>
        <w:br/>
        <w:t>I. The concerned companies and the operation</w:t>
        <w:br/>
        <w:t>A. BANQUE FÉDÉRATIVE DU CRÉDIT MUTUEL</w:t>
        <w:br/>
        <w:t>1. The Banque Fédérative du Crédit Mutuel (hereinafter "BFCM") is the holding company of the Crédit Mutuel Centre Est Europe group (hereinafter "CMCEE"): it is 94.56% owned by the Caisse Fédérale de Crédit Mutuel. The latter is itself owned by the Caisses de Crédit Mutuel and by the Crédit Mutuel insurance company. BFCM is notably the acquisition vehicle for external growth and diversification operations of the group. BFCM primarily conducts its activities in the banking and insurance markets. It is also active in the media sector through, in particular, its subsidiaries (i) the Société Française d’Édition de Journaux et d’Imprimés Commerciaux (hereinafter "SFEJIC"), (ii) the Le Républicain Lorrain group, and (iii) the EBRA company. In this sector, BFCM divides its activities between the press (mainly local press), television, and book publishing, mainly through the operation of:</w:t>
        <w:br/>
        <w:t>- six regional daily press titles: L’Alsace-Le Pays, Le Républicain Lorrain, Le Progrès, Le Dauphiné Libéré, le Journal de la Saône-et-Loire, and le Bien Public;</w:t>
        <w:br/>
        <w:t>- generalist local weekly press titles: La Tribune, Le Journal de Tain Tournon, La Gazette du Morvan, L’Indépendant du Louhannais, L’Indépendant, La Maurienne, Grecitylocalnews, and Avicitylocalnews;</w:t>
        <w:br/>
        <w:t>- specialized local press titles: En Alsace, Massif des Vosges, Pays Comtois, Chasse en Alsace, Documents AP, and Eco Plus 21;</w:t>
        <w:br/>
        <w:t>- a free information press title: Lyon Plus;</w:t>
        <w:br/>
        <w:t>- generalist free classified ad press titles: PAM, PAC, Hebdo Gab, Hebdo PAM Morteau Maîche, and 57-54 Mag+;</w:t>
        <w:br/>
        <w:t>- free classified ad press titles for real estate: L’Offre Habitat 68, L’Offre Habitat 67, L’Offre Habitat 88, and Immocity;</w:t>
        <w:br/>
        <w:t>- specialized national press titles: Le Journal des enfants; Ski Chrono and Alpes Loisirs;</w:t>
        <w:br/>
        <w:t>- a press advertising management for third-party titles: Alsace Publicité.</w:t>
        <w:br/>
        <w:t>2. It is also marginally active in the following sectors:</w:t>
        <w:br/>
        <w:t>- distribution of press titles and leaflets on behalf of third parties;</w:t>
        <w:br/>
        <w:t>- printing of press titles on behalf of third parties;</w:t>
        <w:br/>
        <w:t>- document management, management, and operation of websites;</w:t>
        <w:br/>
        <w:t>- radio advertising management: Europe Régies Alsace;</w:t>
        <w:br/>
        <w:t>- book publishing, works, regional guides;</w:t>
        <w:br/>
        <w:t>- production of television news programs for national channels (TF1, LCI, and Arte).</w:t>
        <w:br/>
        <w:t>B. L’EST RÉPUBLICAIN</w:t>
        <w:br/>
        <w:t>3. The company l’Est Républicain (hereinafter "l’Est Républicain"), a public limited company under French law, is active, through its various subsidiaries, in the press, television, and book publishing sectors. Specifically, it operates:</w:t>
        <w:br/>
        <w:t>- four regional daily press titles: l’Est Républicain, Vosges Matin, Le Journal de la Haute Marne, and les Dernières Nouvelles d’Alsace;</w:t>
        <w:br/>
        <w:t>1 The exclusive control by CMCEE, via BFCM, of the company Le Républicain Lorrain was authorized by the Minister of Economy on April 11, 2007.</w:t>
        <w:br/>
        <w:t>2 The exclusive control by CMCEE via BFCM of the company EBRA was authorized by the Competition Authority decision No. 09-DCC-72 of December 14, 2009.</w:t>
        <w:br/>
        <w:t>3 This company is jointly owned with the Lagardère group.</w:t>
      </w:r>
    </w:p>
    <w:p>
      <w:r>
        <w:t>- three specialized local press titles: Les affiches Moniteur, 7-à-N, Saisons d’Alsace;</w:t>
        <w:br/>
        <w:t>- three free classified ad press titles: City Strass, Top Est 55, Vosges Hebdo;</w:t>
        <w:br/>
        <w:t>- a local television channel: Alsace 20; and the production of local news programs for national television channels (TF1, TPS, LCI);</w:t>
        <w:br/>
        <w:t>4. The l’Est Républicain group is also marginally active in the following sectors:</w:t>
        <w:br/>
        <w:t>- distribution of press titles on behalf of third parties, through the Alsacienne de Portage subsidiary;</w:t>
        <w:br/>
        <w:t>- operation of websites for each of the regional daily press titles;</w:t>
        <w:br/>
        <w:t>- press advertising management through its company France-Régie;</w:t>
        <w:br/>
        <w:t>- book publishing through its publishing company Nuée Bleue.</w:t>
        <w:br/>
        <w:t>C. THE OPERATION</w:t>
        <w:br/>
        <w:t>5. The operation, formalized by a resolution of the board of directors of the company l’Est Républicain dated November 25, 2010, consists of the acquisition by BFCM of the shares previously held by the Lignac family, bringing the bank's stake in the capital of l’Est Républicain to [90-100]% (with [80-90]% of the voting rights in ordinary general meetings and [90-100]% of the voting rights in extraordinary general meetings). None of the minority shareholders hold rights exceeding those usually conferred to minority shareholders for the protection of their financial interests, and BFCM will exercise exclusive control over l’Est Républicain. As it results in the exclusive control of l’Est Républicain by BFCM, the notified operation thus constitutes a concentration operation within the meaning of Article L. 430-1 of the Commercial Code.</w:t>
        <w:br/>
        <w:t>* * *</w:t>
        <w:br/>
        <w:t>6. The concerned companies together achieve a total worldwide turnover of more than 150 million euros (CMCEE: 31.7 billion euros in 2009; l’Est Républicain: 548 million euros in 2009). Each achieves a turnover in France exceeding 50 million euros (CMCEE: 28 billion euros in 2009, l’Est Républicain: the turnover indicated above is entirely achieved in France). Furthermore, CMCEE and l’Est Républicain achieve in France more than two-thirds of their total turnover in the Community.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rPr>
          <w:b/>
        </w:rPr>
        <w:t>[Pages 4–6]</w:t>
      </w:r>
    </w:p>
    <w:p>
      <w:r>
        <w:t xml:space="preserve">II. Definition of Relevant Markets  </w:t>
        <w:br/>
        <w:t xml:space="preserve">A. PRODUCT MARKETS  </w:t>
        <w:br/>
        <w:t xml:space="preserve">7. The market definitions concerning the media sector are established by a well-established decisional practice of national and community competition authorities. According to this practice, written press, television, and radio are notably distinguished.  </w:t>
        <w:br/>
        <w:t xml:space="preserve">1. THE PRESS SECTOR  </w:t>
        <w:br/>
        <w:t xml:space="preserve">8. In the written press sector, competition authorities traditionally distinguish between national press, regional press, free press, specialized press, as well as markets related to the press, namely: the market for printing press titles on behalf of third parties, the market for operating websites related to distributed press titles, and the market for the distribution of leaflets and newspapers on behalf of third parties.  </w:t>
        <w:br/>
        <w:t xml:space="preserve">9. The contrast between the dynamism of some of these media, such as free press and websites, and the decline of written press, particularly regional press, could, however, lead to questioning these distinctions and to inquire about the substitutability of these different media from the perspective of readers and advertisers. However, the Competition Council observed in 2005 that these disparities in the dynamics of the development of different media did not reveal substitution effects in the precise and strict sense of the term, that is to say, a shift in demand from one good to another depending on the fluctuation of their relative prices, but that nevertheless, the existence of new media exerted competitive pressure on the regional daily press (PQR). It follows from the market test conducted in the context of the present operation that this analysis is still valid and that the PQR remains essential for a portion of readers and advertisers. There is therefore no reason to question the previously retained delimitations.  </w:t>
        <w:br/>
        <w:t xml:space="preserve">10. Regarding regional press, the decisional practice distinguishes, due to the different periodicity of the titles, the market for regional daily press (hereinafter "PQR") from that of regional weekly press (hereinafter "PHR").  </w:t>
        <w:br/>
        <w:t xml:space="preserve">11. Regarding free press, competition authorities have noted that it is necessary to distinguish between free press with editorial or informational content and free classified ad press (hereinafter "PGA"). More specifically concerning this free classified ad press, a finer segmentation has been considered between real estate ads and job offers.  </w:t>
        <w:br/>
        <w:t xml:space="preserve">12. Regarding specialized press, general public specialized press is generally distinguished from technical and professional specialized press. Concerning the former, it is necessary to distinguish between those with a national focus and those with a local focus. Furthermore, within these markets, different segments have been identified based on editorial content, presentation, periodicity, commercial policy, and reader characteristics.  </w:t>
        <w:br/>
        <w:t xml:space="preserve">13. For each of these categories of press titles, competition authorities retain three product markets: those of readership, commercial advertising, and classified ads.  </w:t>
        <w:br/>
        <w:t xml:space="preserve">14. Regarding the printing of press titles on behalf of third parties, the decisional practice has specified that it is necessary to distinguish the printing of press titles, on the one hand, from the activity of printing administrative and advertising documents and printing books, on the other hand, due to the nature of the services concerned (quantities to be printed, frequency, time constraints, paper quality, type of color printing, etc.) and the production tools used (a simple printer is sufficient to print advertising leaflets, whereas very specific printing presses are used for printing dailies).  </w:t>
        <w:br/>
        <w:t xml:space="preserve">15. Regarding the operation of websites, it is necessary to distinguish editorial sites that constitute an extension of the paper version of press titles, on the one hand, and ad sites, on the other hand.  </w:t>
        <w:br/>
        <w:t xml:space="preserve">16. Regarding the distribution of leaflets and newspapers on behalf of third parties, the decisional practice has indicated that the distribution of unaddressed printed materials (hereinafter "ISA") is distinct from other out-of-media advertising services and that national demand and local demand are not substitutable. More specifically, the market for the distribution of ISA includes, in particular, leaflets, flyers, printed materials, and advertising newspapers.  </w:t>
        <w:br/>
        <w:t xml:space="preserve">2. THE TELEVISION SECTOR  </w:t>
        <w:br/>
        <w:t xml:space="preserve">17. In the television sector, competition authorities distinguish between the activities of free television and those of pay television, whose business models differ.  </w:t>
        <w:br/>
        <w:t xml:space="preserve">18. Downstream, competition authorities define a market for pay television across all modes of distribution (satellite, cable, ADSL, DTT, terrestrial) distinct, for example, from pay television on mobile devices or VoD services.  </w:t>
        <w:br/>
        <w:t xml:space="preserve">19. They also note the existence of a television advertising market that connects advertisers and television channels, without the need to segment between advertising broadcast on free and pay channels. However, it has been estimated "that unlike pay channels, free-to-air channels derive most of their resources from the sale of advertising space, which leads them to seek maximum audience. With the development of local television, the existence of a local television advertising market distinct from national television advertising cannot be ruled out."  </w:t>
        <w:br/>
        <w:t xml:space="preserve">20. At the intermediate stage, the decisional practice segments the markets for the publishing and marketing of pay television channels according to editorial content (premium, cinema, sports, general information, youth, etc.).  </w:t>
        <w:br/>
        <w:t xml:space="preserve">21. The markets upstream of those related to the operation of television channels are those for acquiring broadcasting rights, where the suppliers are program producers and the demanders are channel publishers. Within this sector, both community and national competition authorities traditionally distinguish between sports rights, rights related to cinematographic works, and rights related to programs specifically edited for television broadcasting. Additionally, a segmentation is made between stock programs (films, TV movies, etc.) and flow programs (news programs, magazines, games, etc.).  </w:t>
        <w:br/>
        <w:t xml:space="preserve">22. There is no reason to question these delimitations in the context of the examination of the present operation.  </w:t>
        <w:br/>
        <w:t xml:space="preserve">3. THE PUBLISHING SECTOR  </w:t>
        <w:br/>
        <w:t xml:space="preserve">23. In the book sector, competition authorities have defined different product and service markets characterizing the "book chain."  </w:t>
        <w:br/>
        <w:t xml:space="preserve">24. Upstream, the European Commission has notably distinguished the markets for acquiring publishing rights based on whether they are primary or secondary publishing rights. Regarding primary publishing rights, it has made a first segmentation based on the language of the work (French or foreign languages) and a second distinction based on the category of books, which constitute relevant markets.  </w:t>
        <w:br/>
        <w:t xml:space="preserve">25. Downstream, the European Commission has segmented the wholesale sector based on the type of resellers – hypermarkets or wholesalers – and according to the category of works (general literature books in large format and pocket format, children's books, art books, practical books, comics, educational books – school and extracurricular –, university and professional works, reference works, and encyclopedic booklets).  </w:t>
        <w:br/>
        <w:t xml:space="preserve">26. There is no reason to question these delimitations in the context of the examination of the present operation.  </w:t>
        <w:br/>
        <w:t xml:space="preserve">4. THE ADVERTISING MANAGEMENT SECTOR  </w:t>
        <w:br/>
        <w:t xml:space="preserve">27. Competition authorities recognize the existence of advertising management markets. The supply involves a management company to which media supports entrust the management of their advertising spaces, through a mandate contract in which the media is the principal and the manager is the agent. The role of these management companies is to market the spaces available to demanders, advertisers, and agencies. There are precisely as many advertising management markets as there are media supports.  </w:t>
        <w:br/>
        <w:t xml:space="preserve">B. GEOGRAPHICAL MARKETS  </w:t>
        <w:br/>
        <w:t xml:space="preserve">1. THE MEDIA SECTOR  </w:t>
        <w:br/>
        <w:t>28. According to the decisional practice of competition authorities, the geographical dimension of media and advertising markets corresponds to their distribution area.</w:t>
      </w:r>
    </w:p>
    <w:p>
      <w:r>
        <w:rPr>
          <w:b/>
        </w:rPr>
        <w:t>[Pages 7–9]</w:t>
      </w:r>
    </w:p>
    <w:p>
      <w:r>
        <w:t>Thus, the markets in the press sector have a national dimension insofar as the publications concerned are distributed uniformly across the national territory and advertisers make their investments based on a national strategy. Conversely, the geographical market for commercial advertising in free classified or editorial content press has been considered on a local basis, due to the content of the newspapers and their distribution area.</w:t>
      </w:r>
    </w:p>
    <w:p>
      <w:r>
        <w:t>29. Regarding the markets for the operation of websites, particularly the sale of advertising space on this medium, it is appropriate to consider at least a national dimension.</w:t>
      </w:r>
    </w:p>
    <w:p>
      <w:r>
        <w:t>30. The television markets, for their part, are predominantly of national dimension due to linguistic barriers and various national regulations. The geographical market for the procurement of broadcasting rights is, for its part, of supranational dimension. Furthermore, regarding local television advertising, the Competition Council noted that the relevant market was of local dimension, corresponding to the television broadcasting area.</w:t>
      </w:r>
    </w:p>
    <w:p>
      <w:r>
        <w:t>31. In the present case, the press titles concerned by this operation have a national, regional, departmental, or sub-departmental distribution. The television channel previously controlled by the l’Est Républicain group has a primarily regional distribution, covering the two departments of Alsace. These distribution areas thus define the geographical dimension of the relevant markets.</w:t>
      </w:r>
    </w:p>
    <w:p>
      <w:r>
        <w:t>2. THE PUBLISHING SECTOR</w:t>
      </w:r>
    </w:p>
    <w:p>
      <w:r>
        <w:t>32. The markets for the acquisition of primary publishing rights and for the reproduction of iconographic and cartographic content are of global dimension.</w:t>
      </w:r>
    </w:p>
    <w:p>
      <w:r>
        <w:t>33. The European Commission also considers that the markets for the acquisition of secondary publishing rights and for the sale of books by publishers to resellers are of supranational dimension, corresponding to the Francophone area of the European Community.</w:t>
      </w:r>
    </w:p>
    <w:p>
      <w:r>
        <w:t>III. COMPETITIVE ANALYSIS</w:t>
      </w:r>
    </w:p>
    <w:p>
      <w:r>
        <w:t>A. ANALYSIS OF HORIZONTAL EFFECTS</w:t>
      </w:r>
    </w:p>
    <w:p>
      <w:r>
        <w:t>1. THE PRESS</w:t>
      </w:r>
    </w:p>
    <w:p>
      <w:r>
        <w:t>a) Regional Daily Press</w:t>
      </w:r>
    </w:p>
    <w:p>
      <w:r>
        <w:t>The position of the players</w:t>
      </w:r>
    </w:p>
    <w:p>
      <w:r>
        <w:t>34. The activities of the parties to the operation in the field of regional daily press overlap in four departments:</w:t>
      </w:r>
    </w:p>
    <w:p>
      <w:r>
        <w:t>- in Bas-Rhin (67): BFCM publishes the title "l’Alsace-le Pays" distributed only in the southern half of the department (Sélestat district); the l’Est Républicain group publishes the title "les Dernières Nouvelles d’Alsace" throughout the department;</w:t>
        <w:br/>
        <w:t>- in Haut-Rhin (68): BFCM and the target respectively publish the titles "l’Alsace" and "les Dernières Nouvelles d’Alsace" throughout the department;</w:t>
        <w:br/>
        <w:t>- in the Territoire-de-Belfort department (90), the acquiring group and the target respectively publish the titles "l’Alsace-le-Pays" and "l’Est Républicain" throughout the department;</w:t>
        <w:br/>
        <w:t>- in Meurthe-et-Moselle (54), BFCM publishes the title "le Républicain Lorrain," which is distributed only in the extreme north of the department (Longwy and Briey districts), while the target publishes the title "l’Est Républicain" distributed in the southern half of the department; the distribution areas of the two titles do not overlap.</w:t>
      </w:r>
    </w:p>
    <w:p>
      <w:r>
        <w:t>35. In the three departments where the distribution areas of the parties' titles overlap, the respective market shares of the parties to the operation in the readership, advertising, and classified ads markets are presented as indicated in the table below:</w:t>
      </w:r>
    </w:p>
    <w:p>
      <w:r>
        <w:t>MARKET SHARES Bas-Rhin Haut-Rhin Territoire de Belfort</w:t>
        <w:br/>
        <w:t>BFCM [0-5] % [70-80] % [30-40] %</w:t>
        <w:br/>
        <w:t>Readership Target [90-100] % [20-30] % [60-70] %</w:t>
        <w:br/>
        <w:t>Total 100 % 100 % 100 %</w:t>
        <w:br/>
        <w:t>BFCM [0-5] % [70-80] % [20-30] %</w:t>
        <w:br/>
        <w:t>Advertising Target [90-100] % [20-30] % [70-80] %</w:t>
        <w:br/>
        <w:t>Total 100 % 100 % 100 %</w:t>
        <w:br/>
        <w:t>BFCM [0-5] % [80-90] % [5-10] %</w:t>
        <w:br/>
        <w:t>Classified Ads Target [90-100] % [10-20] % [90-100] %</w:t>
        <w:br/>
        <w:t>Total 100 % 100 % 100 %</w:t>
      </w:r>
    </w:p>
    <w:p>
      <w:r>
        <w:t>36. The operation thus results in the creation of monopolies in the readership, advertising, and classified ads markets in the departments of Haut-Rhin, Territoire-de-Belfort, and Bas-Rhin, noting that in the latter case, the overlapping distribution area of the two titles is limited to one district. It is then necessary to analyze what potential negative effects such a monopolistic situation may entail for the final consumer.</w:t>
      </w:r>
    </w:p>
    <w:p>
      <w:r>
        <w:t>12 The title l’Alsace-le Pays is a single title bearing two different names: the name "l’Alsace" for distribution in Haut-Rhin and Bas-Rhin and the name "le Pays" for distribution in the department of Territoire de Belfort; hereinafter, the title will be referred to by the sole name "l’Alsace," regardless of its distribution area.</w:t>
      </w:r>
    </w:p>
    <w:p>
      <w:r>
        <w:t>13 The parties indicated that the title "l’Alsace" is also sold in the Montbéliard district located in the Doubs department. However, since it is the edition of Territoire-de-Belfort that is distributed in this district due to many residents of this department working in this city, it should be considered that this edition of "l’Alsace" is not truly substitutable for the edition of the title "l’Est Républicain" dedicated to Montbéliard itself.</w:t>
      </w:r>
    </w:p>
    <w:p>
      <w:r>
        <w:t>14 Market shares estimated based on the number of copies distributed according to OJD 2009 data.</w:t>
      </w:r>
    </w:p>
    <w:p>
      <w:r>
        <w:t>15 Market shares estimated based on commercial advertising revenue figures.</w:t>
      </w:r>
    </w:p>
    <w:p>
      <w:r>
        <w:t>16 Market shares estimated based on classified ads revenue figures.</w:t>
      </w:r>
    </w:p>
    <w:p>
      <w:r>
        <w:t>The unlikely nature of new competitors entering the market</w:t>
      </w:r>
    </w:p>
    <w:p>
      <w:r>
        <w:t>37. The market for regional daily press is characterized by the existence of significant barriers to entry that are likely to increase risks and burden the costs associated with the establishment of new entrants.</w:t>
      </w:r>
    </w:p>
    <w:p>
      <w:r>
        <w:t>38. First, as previously noted by the Authority in previous decisions, the entry of new players may encounter the importance of fixed costs, as launching a new title alone requires a heavy infrastructure (editorial staff, printing), which can only be amortized with significant distribution. Not only is it necessary to make substantial investments in hiring personnel (journalists, for example) and printing tools (printing presses costing several million euros each), but it is also essential to develop a local distribution network covering the entire department, regardless of the number of copies sold.</w:t>
      </w:r>
    </w:p>
    <w:p>
      <w:r>
        <w:t>39. Secondly, given the strong loyalty of readers to their regional daily press title and the reputation enjoyed by the titles of the parties to the operation in their distribution area, the entry of a new title is contingent upon acquiring a reputation and experience, which is nearly impossible within a short timeframe and without significant investments in communication.</w:t>
      </w:r>
    </w:p>
    <w:p>
      <w:r>
        <w:t>40. Thirdly, as noted in the green paper related to the General States of the Written Press submitted on January 8, 2009, the written press, particularly regional daily press, is a declining medium. Thus, between 2002 and 2009, sales of regional daily press titles decreased by 10.6%. The declining nature of the regional daily press market thus makes it more difficult to acquire market shares and reduces the medium-term profitability of entering the market.</w:t>
      </w:r>
    </w:p>
    <w:p>
      <w:r>
        <w:t>41. The market for regional daily press has, moreover, been characterized for several decades by a gradual concentration leading to regional monopoly situations without any new title being sustainably created. While in 1999 already, more than 74 departments experienced a situation of a unique press group, monopoly situations are now found, prior to the operation, in 81 departments.</w:t>
      </w:r>
    </w:p>
    <w:p>
      <w:r>
        <w:t>42. Consequently, the entry of new competitors capable of limiting the monopolistic power of the new entity appears unlikely.</w:t>
      </w:r>
    </w:p>
    <w:p>
      <w:r>
        <w:t>The effects of the operation on the readership markets</w:t>
      </w:r>
    </w:p>
    <w:p>
      <w:r>
        <w:t>43. The exercise of a dominant market power, let alone monopolistic power, can lead to a double risk for the final consumer: on the one hand, a significant increase in prices; on the other hand, a decrease in volumes or a loss of quality and diversity of goods or services, in the absence of competitive emulation favorable to research, innovation, the development of new products or services, product differentiation, and more generally to the improvement of their quality.</w:t>
      </w:r>
    </w:p>
    <w:p>
      <w:r>
        <w:t>44. Regarding the risks of price increases in the monopoly departments, these can be ruled out for several reasons already noted in previous decisions.</w:t>
      </w:r>
    </w:p>
    <w:p>
      <w:r>
        <w:rPr>
          <w:b/>
        </w:rPr>
        <w:t>[Pages 10–12]</w:t>
      </w:r>
    </w:p>
    <w:p>
      <w:r>
        <w:t>decisions19 and confirmed by the market test conducted as part of the investigation of the present case.</w:t>
      </w:r>
    </w:p>
    <w:p>
      <w:r>
        <w:t>45. Firstly, the strong sensitivity of readers to price significantly reduces the risks of an increase in the price per issue. A significant increase in the price of titles would indeed quickly result in a proportionally greater loss of readership. The Competition Council noted in 200520 that any risk of a significant increase in the price of titles could be ruled out as demand was characterized by a high price elasticity. The market test, conducted as part of the review of the present operation, confirmed that the price per issue of the regional daily press titles concerned by the 2005 operation did not increase more than the average price of other titles in France.</w:t>
      </w:r>
    </w:p>
    <w:p>
      <w:r>
        <w:t>46. Furthermore, the attachment of readers to a particular regional daily press title makes it a highly differentiated product, which limits the interest in strategies aimed at increasing the prices of titles in departments where only two titles from the same group will be distributed, in order to benefit from unilateral effects due to the shift of part of the demand towards the other title of the same group. An increase in the prices of the titles "Les Dernières Nouvelles d’Alsace" and "l’Est Républicain" in the departments of Bas-Rhin, Haut-Rhin, and Territoire-de-Belfort would therefore only result in a very limited shift of readership towards their current competitor, "L’Alsace."</w:t>
      </w:r>
    </w:p>
    <w:p>
      <w:r>
        <w:t>47. Moreover, the interest in such a price increase would be further weakened by the bifacial nature of the press markets. Indeed, the press has two different but interdependent clientele for the products exchanged. A regional daily press title thus addresses a readership audience but also an advertising audience. These two audiences have different expectations, but the interest of the title for advertisers obviously depends on the quantity and quality of its readership, while the interest of the newspaper for readers depends, in turn, in addition to the editorial content, on the quantity and nature of classified ads, such as job ads or real estate listings. These cross-externalities between the two clienteles lead to specificities in terms of price formation. Thus, in the event of a loss of readership due to an increase in the price of titles per issue, the press group risks simultaneously suffering a loss of advertisers and thus a drop in its advertising revenue.</w:t>
      </w:r>
    </w:p>
    <w:p>
      <w:r>
        <w:t>48. Consequently, it is appropriate to conclude that the likelihood of exploiting the future monopoly through a significant increase in the prices of titles in the regional daily press markets is low.</w:t>
      </w:r>
    </w:p>
    <w:p>
      <w:r>
        <w:t>49. Regarding the risks of loss of quality and diversity of the concerned press titles, the exclusive control of BFCM over all regional daily press titles in the three concerned departments could encourage the new entity to standardize the editorial content of the titles. A more or less significant number of common pages across all titles could thus be introduced at the expense of the specificity of each title's approach to information, whether general or local. While such harmonization of content may be conceivable for inherently undifferentiated information, such as weather sections, cinema schedules, or television programs, it would be much more detrimental for readers concerning other information for which the editorial line of each title is currently differentiated. The market test indicated that there were differences between the titles "L’Alsace" and "Les Dernières Nouvelles d’Alsace" in the way certain current events were treated, both nationally and locally.</w:t>
      </w:r>
    </w:p>
    <w:p>
      <w:r>
        <w:t>50. Consequently, the notified operation is likely to lead to a homogenization of newspaper content, resulting in a reduction in the quality and editorial diversity of regional daily press newspapers for the consumer/reader.</w:t>
      </w:r>
    </w:p>
    <w:p>
      <w:r>
        <w:t>51. To address serious doubts regarding the effects of the operation on the readership markets of the regional daily press in the three concerned departments, the notifying party has proposed commitments that will be detailed in paragraphs 97 and following.</w:t>
      </w:r>
    </w:p>
    <w:p>
      <w:r>
        <w:t>The effects of the operation on the advertising and classified ads markets</w:t>
      </w:r>
    </w:p>
    <w:p>
      <w:r>
        <w:t>52. The cost price (manufacturing + distribution) of a regional daily press title often exceeds its sale price, making the sale of advertising spaces or classified ads a significant source of revenue for a newspaper. While approximately two-thirds of the revenue of a regional daily press title currently comes from sales per issue and subscription sales, commercial advertising and classified ads account for approximately 25% and 10% of total revenues, respectively. However, the share of these latter sources of revenue tends to gradually decrease as advertisers increasingly turn to new media, such as the web or free editorial content press. This is particularly true for the sale of classified ad spaces, with the success of websites like "Le bon coin," "Se loger," or "La Centrale" coming at the expense of a lesser appeal of the regional daily press for this activity.</w:t>
      </w:r>
    </w:p>
    <w:p>
      <w:r>
        <w:t>53. Under these conditions, even if the substitutability between different advertising media remains insufficient to redefine the relevant markets, the advertising and classified ads markets of the regional daily press are structurally constrained by other media such as free information press or websites, and even by out-of-home advertising (distribution of unaddressed printed materials or billboards). Large retailers thus massively use leaflets to advertise their points of sale in their catchment area. Some advertisers, distributing local advertising, continue to assert that the regional daily press and other media are complementary and not substitutable, and that the regional daily press remains an essential medium for them. However, the vast majority of them stated, in the context of the market test, that in the event of a significant price increase, they would turn to other media.</w:t>
      </w:r>
    </w:p>
    <w:p>
      <w:r>
        <w:t>54. However, to the extent that, like the regional daily press as a whole, the titles concerned by the present operation, particularly l’Est Républicain and l’Alsace, have difficulty achieving balance in their accounts21, and where revenues from advertising and classified ads represent on average [30-40]% of their total revenue, it is unlikely that the parties could deprive themselves, even temporarily, of the revenues from advertisers. This threat of advertiser withdrawal is thus likely to deter the new entity from fully exploiting a strategy of increasing prices for classified ads and advertising spaces.</w:t>
      </w:r>
    </w:p>
    <w:p>
      <w:r>
        <w:t>b) The free classified ads press</w:t>
      </w:r>
    </w:p>
    <w:p>
      <w:r>
        <w:t>55. The only overlaps between the parties were in Bas-Rhin and Vosges where BFCM published two free classified ad titles, "Offre habitat 67" and "Offre Habitat 88." However, these titles have not been distributed since June and December 2010. As a result, the activities of the parties no longer overlap in the markets for free classified ads press.</w:t>
      </w:r>
    </w:p>
    <w:p>
      <w:r>
        <w:t>21 Specifically, the titles l’Est Républicain and l’Alsace have reported negative operating results for the past 5 years: -6.6 million euros in 2009 and -4 million euros in 2010 for the former; -1.4 million euros in 2009 and -1.3 million euros in 2010 for the latter.</w:t>
      </w:r>
    </w:p>
    <w:p>
      <w:r>
        <w:t>c) The specialized local press</w:t>
      </w:r>
    </w:p>
    <w:p>
      <w:r>
        <w:t>56. Bas-Rhin and Haut-Rhin are the only two departments where BFCM and the l’Est Républicain group simultaneously offer public interest specialized press titles.</w:t>
      </w:r>
    </w:p>
    <w:p>
      <w:r>
        <w:t>57. More specifically, BFCM publishes "Chasse en Alsace," a monthly dedicated solely to hunting, and "En Alsace," a bimonthly news magazine covering cultural, gastronomic, and tourist news, which also includes gardening advice, cooking recipes, weekend ideas, and a selection of reading recommendations.</w:t>
      </w:r>
    </w:p>
    <w:p>
      <w:r>
        <w:t>58. The l’Est Républicain group publishes three different titles: "les Affiches-Moniteur," a biweekly of legal announcements (announcements related to public contracts, commercial, legal, tax, and administrative information and notices); "7 à N," a small neighborhood newspaper distributed only in the south of Strasbourg at the price of 50 cents; and "Saisons d’Alsace," a quarterly magazine specialized in literature, art, and history of Alsace. The latter is close to the category of "fine books" on history given its format, paper quality, attention to presentation, writing, and illustrations.</w:t>
      </w:r>
    </w:p>
    <w:p>
      <w:r>
        <w:t>59. Therefore, the present operation does not result in any overlap between the activities of the parties in the markets for specialized local press.</w:t>
      </w:r>
    </w:p>
    <w:p>
      <w:r>
        <w:t>d) The management of websites</w:t>
      </w:r>
    </w:p>
    <w:p>
      <w:r>
        <w:t>60. BFCM operates several websites:</w:t>
        <w:br/>
        <w:t>- websites that extend the paper version of the concerned regional daily press or free classified ad titles;</w:t>
        <w:br/>
        <w:t>- websites presenting city guides in partnership with municipalities and websites dedicated to real estate agency ads.</w:t>
      </w:r>
    </w:p>
    <w:p>
      <w:r>
        <w:t>61. The l’Est Républicain group also operates a website for each of the regional daily press titles it holds. However, many competing websites provide local or regional information to readers and internet users. For example, in the Bas-Rhin department, consumers can consult the websites of "e-alsace.net," "votrealsace.com," the website of the Alsace Chamber of Trades and Crafts, the websites of local radio stations, or France 3 Alsace.</w:t>
      </w:r>
    </w:p>
    <w:p>
      <w:r>
        <w:t>62. Therefore, the operation is not likely to harm competition in the markets for website management.</w:t>
      </w:r>
    </w:p>
    <w:p>
      <w:r>
        <w:t>e) The distribution of leaflets and newspapers on behalf of third parties</w:t>
      </w:r>
    </w:p>
    <w:p>
      <w:r>
        <w:t>63. BFCM is present in the distribution of leaflets and newspapers on behalf of third parties through three subsidiaries:</w:t>
        <w:br/>
        <w:t>- the subsidiary Media Portage, which distributes third-party newspapers (notably Libération, Le Monde, Les Echos, etc.) and advertising leaflets (notably for various food retail brands) in the departments of Haut-Rhin and Territoire de Belfort (revenue of […] euros in 2010);</w:t>
      </w:r>
    </w:p>
    <w:p>
      <w:r>
        <w:rPr>
          <w:b/>
        </w:rPr>
        <w:t>[Pages 13–15]</w:t>
      </w:r>
    </w:p>
    <w:p>
      <w:r>
        <w:t>- the subsidiary Distripub responsible for the distribution of regional daily press titles and leaflets on behalf of third parties in the departments of Haut-Rhin, Territoire de Belfort, Doubs, and Haute-Saône (turnover of […] euros in 2010);</w:t>
        <w:br/>
        <w:t>- the subsidiary Echiquier (formerly Media Impact) which distributes leaflets in the two departments of Alsace (turnover of […] million euros in 2010).</w:t>
      </w:r>
    </w:p>
    <w:p>
      <w:r>
        <w:t>64. The l’Est Républicain group holds a subsidiary, Alsacienne de Portage, which very marginally ensures the distribution of third-party titles, namely the French national daily "Le Monde" and two German titles (total annual turnover of 154,000 euros in 2010).</w:t>
      </w:r>
    </w:p>
    <w:p>
      <w:r>
        <w:t>65. In these markets, the parties to the operation, whose presence remains marginal, are competing with nationally significant groups, such as Mediapost, a subsidiary of the La Poste group (whose total annual turnover is approximately 480 million euros) or Adrexo, a subsidiary of the Spir group (whose total annual turnover is approximately 300 million euros).</w:t>
      </w:r>
    </w:p>
    <w:p>
      <w:r>
        <w:t>66. Therefore, any risk of harming competition in the markets for the distribution of leaflets and newspapers on behalf of third parties can be ruled out.</w:t>
      </w:r>
    </w:p>
    <w:p>
      <w:r>
        <w:t>2. TELEVISION</w:t>
      </w:r>
    </w:p>
    <w:p>
      <w:r>
        <w:t>67. In terms of television, BFCM provides local correspondence for national television channels (TF1, LCI, Arte) for information related solely to the department of Moselle, with a total annual turnover of approximately […] euros.</w:t>
      </w:r>
    </w:p>
    <w:p>
      <w:r>
        <w:t>68. The l’Est Républicain group operates a regional television channel called "Alsace 20," offered free of charge on channel 20 of the DTT. Jointly controlled, until December 1, 2008, by BFCM and the l’Est Républicain group, this channel, under the exclusive control of the latter for just over two years, is dedicated to broadcasting programs focused on Alsatian regional news presented in the form of newspapers and magazines. Furthermore, the target group provides local and regional correspondence for television news programs (TF1, TPS, LCI) in Alsace and Franche-Comté with a total annual turnover of approximately […] euros.</w:t>
      </w:r>
    </w:p>
    <w:p>
      <w:r>
        <w:t>69. In the segment of the national market for the acquisition of broadcasting rights for flow programs, the only market where the activities of the parties overlap, the parties to the operation hold marginal market shares, below 0.5% of the market, given the investments made by major national television channels.</w:t>
      </w:r>
    </w:p>
    <w:p>
      <w:r>
        <w:t>70. Therefore, the operation is not likely to harm competition in the television markets.</w:t>
      </w:r>
    </w:p>
    <w:p>
      <w:r>
        <w:t>3. BOOK PUBLISHING</w:t>
      </w:r>
    </w:p>
    <w:p>
      <w:r>
        <w:t>71. The various subsidiaries of the BFCM group publish several categories of books:</w:t>
        <w:br/>
        <w:t>- "Editions Serpenoise" publishes regionally focused books dedicated to Lorraine covering various subjects (history, literature, art, music, etc.), sold in bookstores or by mail (turnover of […] euros);</w:t>
        <w:br/>
        <w:t>- the regional daily press titles "le Bien Public" and "le Journal de Saône-et-Loire" occasionally publish works (turnover of approximately […] euros in 2010);</w:t>
        <w:br/>
        <w:t>- in 2009 and 2010, the regional daily press title "le Progrès" marketed six and three works respectively, mainly focused on regional themes (turnover of approximately […] euros in 2010);</w:t>
        <w:br/>
        <w:t>- the regional daily press title "le Dauphiné-Libéré" published a series of regional guides related to the discovery of a specific geographical area through its heritage, history, and specificities, as well as themed books and art books (total turnover of approximately […] euros in 2010).</w:t>
      </w:r>
    </w:p>
    <w:p>
      <w:r>
        <w:t>72. The l’Est Républicain group owns the publishing company "Nuée bleue," specialized in publishing works concerning the Alsace region on themes related to history, art, popular traditions, and tourism (turnover of approximately […] million euros in 2010).</w:t>
      </w:r>
    </w:p>
    <w:p>
      <w:r>
        <w:t>73. In light of the above, the overlap of activities of the parties mainly concerns the publishing and marketing of art books. However, it should be noted that in this market, the new entity will still face competition from nationally significant groups, such as Hachette, Gallimard, and Flammarion. Furthermore, it should be observed that the works concerned have very limited distribution, confined to certain restricted geographical areas.</w:t>
      </w:r>
    </w:p>
    <w:p>
      <w:r>
        <w:t>74. Therefore, the present operation is not likely to harm competition in the book publishing markets.</w:t>
      </w:r>
    </w:p>
    <w:p>
      <w:r>
        <w:t>4. PRESS ADVERTISING MANAGEMENT</w:t>
      </w:r>
    </w:p>
    <w:p>
      <w:r>
        <w:t>75. BFCM provides, in a very ancillary manner, advertising management for legal notices only, for the title "le Journal des Ménagères," with an annual turnover of […] euros. It also provides, more significantly, advertising management for local radios of the Lagardère group in Mulhouse, Colmar, Belfort, and Besançon for a turnover of […] million euros.</w:t>
      </w:r>
    </w:p>
    <w:p>
      <w:r>
        <w:t>76. The l’Est Républicain group also provides, in an ancillary manner, commercial advertising management, excluding legal notices, for a few press titles for a clientele of advertisers primarily from Germany (total turnover of […] euros).</w:t>
      </w:r>
    </w:p>
    <w:p>
      <w:r>
        <w:t>77. Therefore, given the absence of any real overlap in the activities of the parties, their particularly marginal activity in the press management market, and the regulated nature of the dissemination of legal notices, the operation is not likely to harm competition in the press advertising management markets.</w:t>
      </w:r>
    </w:p>
    <w:p>
      <w:r>
        <w:t>B. ANALYSIS OF CONGLOMERATE EFFECTS</w:t>
      </w:r>
    </w:p>
    <w:p>
      <w:r>
        <w:t>78. A concentration has conglomerate effects when the new entity extends or strengthens its presence in several markets whose connectivity may allow it to increase its market power. While conglomerate concentrations can generally create pro-competitive synergies, some may nonetheless produce restrictive competition effects when they allow for the technical or commercial linking of the sales or purchases of the components of the grouping in a way that locks the market and excludes competitors.</w:t>
      </w:r>
    </w:p>
    <w:p>
      <w:r>
        <w:t>79. In this case, the new entity resulting from the present operation will be active in both the media or publishing sector and the banking sector, through its retail and commercial banking network. It will also be present, in a given geographical area, in numerous markets for different products in the media sector (PQR, PGA, specialized press, local television). Finally, it expands its geographical coverage.</w:t>
      </w:r>
    </w:p>
    <w:p>
      <w:r>
        <w:t>The effects related to simultaneous presence in the media and banking markets</w:t>
      </w:r>
    </w:p>
    <w:p>
      <w:r>
        <w:t>80. On this point, the link of connectivity between banking activity and that of the media or publishing appears insufficiently strong to credibly suggest the existence of leverage effects between these two markets. Indeed, as the Competition Authority has clarified in previous decisions, "banking services do not constitute complementary services to those offered by regional daily press and are not likely to be offered, on a recurring basis, within the same offer. The holding of these two types of activity does not therefore constitute a determining selling argument for buyers." Moreover, it has also been indicated that the risk that the press title might be tempted to treat advertising insertion requests from competitors of the banking group unfavorably can be ruled out due to, on the one hand, the low profit expectations associated with such a strategy and, on the other hand, the penalties incurred under competition law for implementing such discriminatory practices.</w:t>
      </w:r>
    </w:p>
    <w:p>
      <w:r>
        <w:t>The effects related to presence in multiple media markets</w:t>
      </w:r>
    </w:p>
    <w:p>
      <w:r>
        <w:t>81. In contrast, given the obvious link of connectivity between the various markets in the media sector, it is necessary to examine whether the new entity will have the capacity to lock certain markets in a given geographical area.</w:t>
      </w:r>
    </w:p>
    <w:p>
      <w:r>
        <w:t>82. According to the guidelines of the Competition Authority, it is unlikely that "the holding of a range of products or a product portfolio will harm competition in one or more markets if the new entity does not benefit from a strong position in a market from which it can leverage an effect."</w:t>
      </w:r>
    </w:p>
    <w:p>
      <w:r>
        <w:t>83. In this case, as seen in paragraph 34 above, the operations of the parties overlap in four departments (Haut-Rhin, Bas-Rhin, Meurthe-et-Moselle, and Territoire-de-Belfort). In these four departments, the newspapers of the new entity will, following the operation, be the only PQR titles distributed. Furthermore, BFCM already holds a monopoly in the PQR markets in a number of other departments. It also has significant market shares in the markets for free classified ads in Haut-Rhin ([50-60]%), Doubs and Haute-Saône ([30-40]%), and Vosges ([50-60]%). However, it faces competition in these PGA markets from the SIPA/Ouest France/SPIR group, which is also very present in other rapidly expanding markets such as advertising websites, a market in which the</w:t>
      </w:r>
    </w:p>
    <w:p>
      <w:r>
        <w:rPr>
          <w:b/>
        </w:rPr>
        <w:t>[Pages 16–18]</w:t>
      </w:r>
    </w:p>
    <w:p>
      <w:r>
        <w:t>will be assessed in light of the competitive situation at that time.</w:t>
      </w:r>
    </w:p>
    <w:p>
      <w:r>
        <w:t>99. The commitments proposed by the notifying party include measures aimed at ensuring the maintenance of editorial diversity and quality in the regional daily press, as well as the promotion of competition in the relevant markets. These measures include, among others, the commitment to maintain the editorial independence of the titles involved and to ensure that the new entity does not engage in practices that could lead to a reduction in the diversity of information available to consumers.</w:t>
      </w:r>
    </w:p>
    <w:p>
      <w:r>
        <w:t>100. Furthermore, the notifying party has committed to implementing a monitoring mechanism to ensure compliance with these commitments, which will involve regular reporting to the relevant authorities and the possibility of independent audits to verify adherence to the commitments made.</w:t>
      </w:r>
    </w:p>
    <w:p>
      <w:r>
        <w:t>101. The proposed commitments are intended to address the concerns raised regarding the potential negative impact of the operation on competition and to ensure that the benefits of the operation do not come at the expense of consumers and the diversity of the press.</w:t>
      </w:r>
    </w:p>
    <w:p>
      <w:r>
        <w:t>102. In conclusion, the commitments put forward by the notifying party are deemed sufficient to alleviate the serious doubts regarding the effects of the operation on competition in the relevant markets, and the operation can therefore be authorized subject to the implementation of these commitments.</w:t>
      </w:r>
    </w:p>
    <w:p>
      <w:r>
        <w:rPr>
          <w:b/>
        </w:rPr>
        <w:t>[Pages 19–19]</w:t>
      </w:r>
    </w:p>
    <w:p>
      <w:r>
        <w:t>11. The full text of these commitments, attached as an annex, forms an integral part of this decision.</w:t>
      </w:r>
    </w:p>
    <w:p>
      <w:r>
        <w:t>98. All commitments proposed by BFCM have been made for a duration of five years. At the end of this period, the maintenance or total or partial lifting of the commitments undertaken will be subject to review by the Competition Authority, in light of the evolution of the economic and competitive environment of the concerned titles and of the regional daily press in general.</w:t>
      </w:r>
    </w:p>
    <w:p>
      <w:r>
        <w:t>99. The monitoring of the commitments will be ensured by an independent representative of BFCM and its subsidiaries, whose mission will be to control the proper execution of the commitments by BFCM.</w:t>
      </w:r>
    </w:p>
    <w:p>
      <w:r>
        <w:t>100. To guarantee the maintenance of editorial diversity, BFCM commits not to harmonize the content between "Est Républicain" and "Alsace-le Pays" on one hand, and "Dernières Nouvelles d'Alsace" and "Alsace-le-Pays" on the other hand. Only information that is inherently undifferentiated (weather, horse racing, television programs, etc.), that is, factual information without any personal contribution from the newspaper's editorial team, transmitted as is to the reader, may be subject to such harmonization.</w:t>
      </w:r>
    </w:p>
    <w:p>
      <w:r>
        <w:t>101. While the notifying party reserves the possibility of dispatching common journalists to ensure factual coverage of an event, or of creating a common internal structure with the functions of a news agency capable of supplying news dispatches to its various press titles, this must not lead to a de facto harmonization of the aforementioned titles. This is why the commitments provide that each title must be able to enrich these dispatches, not use them, and send their own journalists to cover the event. To make this feasible, BFCM has committed to maintaining the editorial management of "Dernières Nouvelles d'Alsace" and "Est Républicain"; these titles will continue to have a dedicated editorial team, including at least one editor-in-chief and a team of journalists capable of handling international, national, regional, departmental, and local information.</w:t>
      </w:r>
    </w:p>
    <w:p>
      <w:r>
        <w:t>102. Similarly, to maintain the current diversity of regional daily press titles in the three concerned departments, BFCM has committed to maintaining the distribution, on one hand, of "Dernières Nouvelles d'Alsace" and "Alsace" in the Haut-Rhin department and in the Sélestat district, and on the other hand, of "L'Est Républicain" and "Pays" in the Territoire de Belfort (provided that the annual paid circulation of L'Est Républicain exceeds 10,000 copies).</w:t>
      </w:r>
    </w:p>
    <w:p>
      <w:r>
        <w:t>103. All of these commitments will therefore allow for the maintenance of existing titles in the three departments where the concentration has a competitive impact while ensuring the autonomy and content diversity of the titles thus distributed.</w:t>
      </w:r>
    </w:p>
    <w:p>
      <w:r>
        <w:t>104. Consequently, the Authority considers that the commitments proposed by the notifying party are sufficient to eliminate all serious doubts regarding the effects of the operation on competition.</w:t>
      </w:r>
    </w:p>
    <w:p>
      <w:r>
        <w:t>DECIDES</w:t>
      </w:r>
    </w:p>
    <w:p>
      <w:r>
        <w:t>Sole Article: The operation notified under number 11-0023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