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https://www.autoritedelaconcurrence.fr/fr/decision-de-controle-des-concentrations/relative-la-prise-de-controle-exclusif-du-groupe-location</w:t>
      </w:r>
    </w:p>
    <w:p>
      <w:r>
        <w:t>Pages translated : 37</w:t>
      </w:r>
    </w:p>
    <w:p/>
    <w:p>
      <w:r>
        <w:rPr>
          <w:b/>
        </w:rPr>
        <w:t>[Pages 1–3]</w:t>
      </w:r>
    </w:p>
    <w:p>
      <w:r>
        <w:t xml:space="preserve">FRENCH REPUBLIC  </w:t>
        <w:br/>
        <w:t xml:space="preserve">Decision No. 20-DCC-132 of September 23, 2020  </w:t>
        <w:br/>
        <w:t xml:space="preserve">regarding the exclusive control of the Via Location group by the Fraikin group  </w:t>
        <w:br/>
        <w:t xml:space="preserve">The Competition Authority,  </w:t>
        <w:br/>
        <w:t xml:space="preserve">Having regard to the notification file, submitted to the merger service on June 3, 2020, regarding the exclusive control of the Via Location group by the Fraikin group, formalized by a consolidation agreement dated November 22, 2019;  </w:t>
        <w:br/>
        <w:t xml:space="preserve">Having regard to Book IV of the Commercial Code relating to the freedom of prices and competition, and in particular its Articles L. 430-1 to L. 430-7;  </w:t>
        <w:br/>
        <w:t xml:space="preserve">Having regard to the commitments presented on August 7, 2020, and last modified on September 22, 2020, by the Fraikin group;  </w:t>
        <w:br/>
        <w:t xml:space="preserve">Having regard to the additional elements submitted by the notifying party during the investigation;  </w:t>
        <w:br/>
        <w:t xml:space="preserve">Having regard to the other documents in the file;  </w:t>
        <w:br/>
        <w:t>Adopts the following decision:</w:t>
      </w:r>
    </w:p>
    <w:p>
      <w:r>
        <w:t xml:space="preserve">Summary1  </w:t>
        <w:br/>
        <w:t xml:space="preserve">On June 3, 2020, the project for the exclusive control of the Via Location group by the Fraikin group was notified to the Competition Authority. The parties are primarily active in the industrial vehicle rental market. The parties are also active in the upstream markets for the supply of chassis, refrigeration units, and spare parts, as well as in the markets for the sale of used vehicles, rental with an option to purchase, fleet management, and the maintenance and manufacturing of industrial bodies.  </w:t>
        <w:br/>
        <w:t xml:space="preserve">The Competition Authority analyzed the effects of the operation on the structure of these markets, based on its decision-making practice and on market tests conducted with competitors and customers of the parties. The Competition Authority conducted a thorough examination of the risks of a significant reduction in competition at the national level, but also at the local level, particularly in each of the areas where the proposed operation would result in an overlap of activities between the parties in the industrial vehicle rental market.  </w:t>
        <w:br/>
        <w:t xml:space="preserve">While the operation does not raise competition concerns in the upstream supply markets, as well as in the related markets for the sale of used vehicles, rental with an option to purchase, fleet management, and the maintenance and manufacturing of industrial bodies, the Competition Authority, on the other hand, considered that there were risks of significant harm to competition at the local level in the industrial vehicle rental market for vehicles over 3.5 tons. Indeed, in the areas of Lens (59), Lesquin (59), Marseille (13), Nancy (54), Toulouse (31), and Valenciennes (59), customers would have been deprived of a satisfactory competitive alternative in certain segments of the market following the operation, without competitors being likely to exert sufficient competitive pressure on the new entity. The parties presented commitments that address these competition concerns.  </w:t>
        <w:br/>
        <w:t xml:space="preserve">The commitments proposed by the parties thus concern two types of structural measures. These measures will consist, on the one hand, of the divestiture of the target agencies located in Lesquin (59) and Nancy (54), and on the other hand, of the divestiture of the entire short-term rental vehicle fleet of the target, in the segments where the Authority has expressed competition concerns, in the areas of Marseille (13), Toulouse (31), and Valenciennes (59) within a maximum period of [confidential] months, as well as the divestiture of the long-term rental contracts of one of the two parties, in these same segments, in the Valenciennes (59) area.  </w:t>
        <w:br/>
        <w:t xml:space="preserve">To address any difficulties that Fraikin may encounter in divesting the short-term rental vehicle fleets of the target or the long-term rental contracts of the parties, and to ensure the effectiveness of the remedies, substitution commitments have been provided. Indeed, if, at the end of this initial period of [confidential] months, all vehicles covered by the divestiture commitments have not been divested, the divestiture of the remaining vehicles will either be entrusted to a representative responsible for the divestiture (if [confidential] vehicles linked to an agency have been divested) or substituted by a divestiture of the agency (if [confidential] vehicles linked to said agency have been divested or if the long-term rental contracts have not been divested).  </w:t>
        <w:br/>
        <w:t xml:space="preserve">Given the commitments undertaken by the Fraikin group, the Authority authorized the present operation following a phase 1 review.  </w:t>
        <w:br/>
        <w:t>3</w:t>
      </w:r>
    </w:p>
    <w:p>
      <w:r>
        <w:rPr>
          <w:b/>
        </w:rPr>
        <w:t>[Pages 4–6]</w:t>
      </w:r>
    </w:p>
    <w:p>
      <w:r>
        <w:t xml:space="preserve">I. The concerned companies and the operation  </w:t>
        <w:br/>
        <w:t xml:space="preserve">1. The company Fraikin Groupe SAS (hereinafter, "Fraikin") is owned at [confidential] % by the company Financière Truck (Investissement) SAS (hereinafter, "FTI"). The latter is controlled by the company FTI Holdings SARL (hereinafter, "FTIH"), which is itself owned by several funds. FTIH is not controlled within the meaning of competition law. Fraikin is primarily active in the industrial vehicle rental sector through a network of approximately 180 agencies, of which 111 are located in France. Fraikin also engages in fleet management, the sale of used vehicles, and, to a residual extent, acts as a business introducer in the sector of rental with an option to purchase.  </w:t>
        <w:br/>
        <w:t xml:space="preserve">2. The company Via Location SAS (hereinafter "Via Location") is owned at [confidential] % by the company VL Holding SAS, which is itself owned by the funds VL Lux Holding SARL and TDO Holdings Limited. Via Location is primarily active in the industrial vehicle rental sector in France with 42 agencies, and marginally in Belgium and the Netherlands. Via Location also engages in fleet management, the sale of used vehicles, and, to a residual extent, rental with an option to purchase. Finally, Via Location is active in the maintenance sector through its subsidiary Kergroup SAS, and in the manufacturing of industrial bodies through its subsidiary Giraudon SAS.  </w:t>
        <w:br/>
        <w:t xml:space="preserve">3. The operation, formalized by a merger agreement dated November 22, 2019, consists of the acquisition of all the capital and voting rights of the company VL Holding SAS, which holds Via Location and its subsidiaries, as well as all the redeemable obligations issued by Via Location, by the companies FTI and FTIH. In return, [confidential] representing approximately [confidential] % of the voting rights of FTIH, without this holding allowing them to exercise control over the target.  </w:t>
        <w:br/>
        <w:t xml:space="preserve">4. As it results in the exclusive control of Via Location by Fraikin, the notified operation constitutes a concentration within the meaning of Article L. 430-1 of the Commercial Code.  </w:t>
        <w:br/>
        <w:t xml:space="preserve">5. The concerned companies together achieve a total worldwide turnover of more than 150 million euros (Fraikin: [≥ 150 million] euros for the financial year ending December 31, 2019; Via Location: [≤ 150 million] euros for the same financial year). Each of these companies achieves, in France, a turnover exceeding 50 million euros (Fraikin: [≥ 50 million] euros for the financial year ending December 31, 2019; Via Location: [≥ 50 million] euros for the same financial year). Given these turnover figures, the operation does not have a European dimension. However, the control thresholds mentioned in I of Article L. 430-2 of the Commercial Code are exceeded. The present operation is therefore subject to the provisions of Articles L. 430-3 and following of the Commercial Code, relating to economic concentration.  </w:t>
        <w:br/>
        <w:t xml:space="preserve">II. Definition of the relevant markets  </w:t>
        <w:br/>
        <w:t xml:space="preserve">6. The parties are simultaneously active, as purchasers, in the upstream markets for the supply of chassis (A), industrial bodies (B), refrigeration units (C), and spare parts (D). Via Location is active in the market for the supply of industrial bodies as a seller, through its subsidiary Giraudon.  </w:t>
        <w:br/>
        <w:t xml:space="preserve">7. The parties are also simultaneously active in the downstream markets for the sale of used industrial vehicles (E), rental of industrial vehicles (F), rental with an option to purchase (G), and fleet management (H).  </w:t>
        <w:br/>
        <w:t xml:space="preserve">A. THE UPSTREAM MARKET FOR THE SUPPLY OF CHASSIS  </w:t>
        <w:br/>
        <w:t xml:space="preserve">1. PRODUCT MARKET  </w:t>
        <w:br/>
        <w:t xml:space="preserve">8. The European Commission has recognized the existence of an upstream market for the supply of chassis for buses and coaches. Chassis are semi-finished products composed of the chassis components, the driver's seat, and the powertrain (engine, transmission, drive shaft, axles, and suspension) that are used for the construction of a vehicle.  </w:t>
        <w:br/>
        <w:t xml:space="preserve">9. The European Commission has considered a segmentation of the market based on the technical characteristics of the different types of chassis, while leaving the question open.  </w:t>
        <w:br/>
        <w:t xml:space="preserve">10. When chassis manufacturers do not produce the finished vehicles themselves, they may outsource to an external company specialized in bodywork (a "bodybuilder") the construction of the vehicle's body, which they then sell to the end customer, or they may sell the chassis directly to a bodybuilder who performs the bodywork and then sells the vehicle to the end customer under its own name.  </w:t>
        <w:br/>
        <w:t xml:space="preserve">11. There are thus different ways for customers to purchase a bus or coach:  </w:t>
        <w:br/>
        <w:t xml:space="preserve">- from an integrated vehicle manufacturer (producing the entire vehicle within its own group), or partially integrated (for example, producing the chassis and body and acquiring the engine from a third party);  </w:t>
        <w:br/>
        <w:t xml:space="preserve">- from a chassis manufacturer (who procures the body from a bodybuilder);  </w:t>
        <w:br/>
        <w:t xml:space="preserve">- from a bodybuilder (who procures the chassis from a chassis manufacturer);  </w:t>
        <w:br/>
        <w:t xml:space="preserve">- or by acquiring the vehicle assembled by the bodybuilder under two separate contracts: one with the chassis manufacturer and the other with the bodybuilder.  </w:t>
        <w:br/>
        <w:t xml:space="preserve">12. The European Commission has considered that vehicles sold by integrated vehicle manufacturers and by chassis manufacturers do not belong to the market for the supply of chassis because, in these configurations, there is no transfer of chassis, as it is provided directly as part of an intra-group purchase. It examined the question of whether chassis sold under the two-invoice system belonged to the upstream market for the supply of chassis but ultimately left the question open.  </w:t>
        <w:br/>
        <w:t xml:space="preserve">13. The conclusions of the European Commission's analysis regarding the market for the supply of chassis for buses and coaches can be extended to industrial vehicles.  </w:t>
        <w:br/>
        <w:t xml:space="preserve">14. Furthermore, the notifying party believes that the market for the supply of chassis should include the offer from manufacturers, but also from dealers who can, at times, acquire chassis directly.  </w:t>
        <w:br/>
        <w:t xml:space="preserve">15. In any event, the question of the exact definition of the markets for the supply of chassis can be left open insofar as, regardless of the delineation adopted, the conclusions of the competitive analysis remain unchanged.  </w:t>
        <w:br/>
        <w:t xml:space="preserve">16. Both parties are active in this market as purchasers.  </w:t>
        <w:br/>
        <w:t xml:space="preserve">2. GEOGRAPHIC MARKET  </w:t>
        <w:br/>
        <w:t xml:space="preserve">17. The European Commission has considered that the competitive analysis of the market for the supply of chassis for buses and coaches should be conducted at the level of the European Economic Area ("EEA").  </w:t>
        <w:br/>
        <w:t xml:space="preserve">18. The notifying party considers that the market for the supply of chassis for industrial vehicles is at least of European dimension. Indeed, chassis manufacturers are international players with a presence across the entire European territory (such as DAF, Iveco, or Mercedes). The notifying party sources from all the European subsidiaries of these manufacturers through framework agreements concluded at the European level.  </w:t>
        <w:br/>
        <w:t xml:space="preserve">19. In any event, the question of the exact geographical delineation of this market can be left open insofar as, regardless of the delineation adopted, the conclusions of the competitive analysis remain unchanged. In this case, the analysis will be conducted at the European level.  </w:t>
        <w:br/>
        <w:t xml:space="preserve">B. THE UPSTREAM MARKET FOR THE MANUFACTURE OF INDUSTRIAL BODIES  </w:t>
        <w:br/>
        <w:t xml:space="preserve">1. PRODUCT MARKET  </w:t>
        <w:br/>
        <w:t xml:space="preserve">20. The decisional practice has identified a market for the manufacture of industrial bodies, where the supply from bodybuilders meets the demand from customers who need to equip a chassis with a suitable body.  </w:t>
        <w:br/>
        <w:t xml:space="preserve">21. The customers correspond to:  </w:t>
        <w:br/>
        <w:t xml:space="preserve">- on the one hand, manufacturers of industrial vehicles and chassis, when they equip the chassis they produce themselves with a body in order to offer a complete vehicle for sale or rental;  </w:t>
        <w:br/>
        <w:t xml:space="preserve">- and on the other hand, end customers, such as rental operators or various users, who "compose" their vehicle themselves from a chassis acquired from a vehicle or chassis manufacturer and a body acquired from a bodybuilder.  </w:t>
        <w:br/>
        <w:t>22. The national decisional practice distinguishes the market for the manufacture, design, and marketing of bodies under controlled temperature from the design, manufacture and...</w:t>
      </w:r>
    </w:p>
    <w:p>
      <w:r>
        <w:rPr>
          <w:b/>
        </w:rPr>
        <w:t>[Pages 7–9]</w:t>
      </w:r>
    </w:p>
    <w:p>
      <w:r>
        <w:t xml:space="preserve">commercialization of other types of industrial bodies, on the grounds that the temperature-controlled body is not substitutable from the demand perspective for another type of body5. The demand indeed comes from a specific clientele whose activity requires compliance with the cold chain (food distributors in particular). It has also been emphasized that the supply of temperature-controlled bodies largely comes from specialized operators implementing more costly and different technology and production processes than those used for other types of bodies.  </w:t>
        <w:br/>
        <w:t xml:space="preserve">23. Furthermore, the decision-making practice has distinguished a market for temperature-controlled bodies for trucks and a market for temperature-controlled bodies for semi-trailers. Indeed, the former are mounted on the chassis of a vehicle delivered by the client and can have very variable dimensions according to the client's needs, while the latter have a much more standardized production.  </w:t>
        <w:br/>
        <w:t xml:space="preserve">24. Finally, the question of segmenting the market for refrigerated bodies for trucks between refrigerated bodies for industrial vehicles over 5 tons, on the one hand, and refrigerated bodies for light commercial vehicles, on the other hand, has been left open.  </w:t>
        <w:br/>
        <w:t xml:space="preserve">25. The notifying party considers that the market should not be segmented according to the type of vehicles, given the substitutability of the supply.  </w:t>
        <w:br/>
        <w:t xml:space="preserve">26. In any event, the question of the exact definition of the markets for the manufacture of bodies can be left open insofar as, regardless of the delineation adopted, the conclusions of the competitive analysis remain unchanged.  </w:t>
        <w:br/>
        <w:t xml:space="preserve">27. In this case, both parties are active, as purchasers, in the market for the manufacture of industrial bodies. Only Via Location is active as a seller in this market, through its subsidiary Giraudon, which manufactures and markets non-refrigerated industrial bodies.  </w:t>
        <w:br/>
        <w:t xml:space="preserve">2. GEOGRAPHIC MARKET  </w:t>
        <w:br/>
        <w:t xml:space="preserve">28. The decision-making practice considers that the market for bodies for trucks is of national dimension. Indeed, the clients are of national or local size, and the market shares of suppliers are not the same within the different Member States of the European Union. International exchanges remain low in view of the importance of transport costs and the necessity of having local establishments that can mount the bodies on the chassis of the clients' vehicles.  </w:t>
        <w:br/>
        <w:t xml:space="preserve">29. It is possible to consider that a potential segment of light commercial vehicles within this market would also be of national size.  </w:t>
        <w:br/>
        <w:t xml:space="preserve">30. Regarding the market for bodies for semi-trailers, the question of whether the market is national or supranational has been left open.  </w:t>
        <w:br/>
        <w:t xml:space="preserve">31. The question of the exact definition of the markets for the manufacture of bodies can be left open insofar as, regardless of the delineation adopted, the conclusions of the competitive analysis remain unchanged. In this case, the analysis has been conducted at the national level, the most conservative level given the parties' activities.  </w:t>
        <w:br/>
        <w:t xml:space="preserve">5 Decision of the Authority No. 09-DCC-07 of May 26, 2009, regarding the exclusive control of assets of the Lamberet group by Caravelle S.A and letter from the Ministry of Economy dated September 2, 2003, to the advisors of Lamberet regarding a concentration in the refrigerated body manufacturing sector.  </w:t>
        <w:br/>
        <w:t xml:space="preserve">C. THE UPSTREAM MARKET FOR THE SUPPLY OF REFRIGERATED UNITS  </w:t>
        <w:br/>
        <w:t xml:space="preserve">1. PRODUCT MARKET  </w:t>
        <w:br/>
        <w:t xml:space="preserve">32. A refrigerated unit or group is a device used for the storage or preservation of products that need to be maintained at a controlled temperature (foodstuffs, medicines, etc.). A refrigeration unit functions to lower the internal temperature of a given space and is notably used to equip refrigerated vehicles. Indeed, the refrigerated unit assembled to a refrigerated body allows vehicles to ensure the transport of products under controlled temperature.  </w:t>
        <w:br/>
        <w:t xml:space="preserve">33. According to the notifying party, the upstream market for the supply of refrigerated units corresponds to the market on which manufacturers and various users (lessors, end users) of refrigerated vehicles acquire refrigerated units.  </w:t>
        <w:br/>
        <w:t xml:space="preserve">34. The question of the exact definition of the markets for the supply of refrigerated units can be left open insofar as the conclusions of the competitive analysis remain unchanged, regardless of the segmentation adopted.  </w:t>
        <w:br/>
        <w:t xml:space="preserve">35. In this case, both parties are active in this market as purchasers.  </w:t>
        <w:br/>
        <w:t xml:space="preserve">2. GEOGRAPHIC MARKET  </w:t>
        <w:br/>
        <w:t xml:space="preserve">36. The notifying party considers that the upstream market for the supply of refrigerated units is at least of European dimension.  </w:t>
        <w:br/>
        <w:t xml:space="preserve">37. The European dimension of this market is due, in particular, to the European presence of the main suppliers and customers of refrigerated units, as well as the growth of imports of refrigerated units from Asia with the recent rise within the European Union of players such as the Koreans Hwasung or ThermalMaster.  </w:t>
        <w:br/>
        <w:t xml:space="preserve">38. The question of the exact definition of the markets for the supply of refrigerated units can be left open insofar as the conclusions of the competitive analysis remain unchanged, regardless of the delineation adopted. In this case, the analysis will be conducted at the European level.  </w:t>
        <w:br/>
        <w:t xml:space="preserve">D. THE UPSTREAM MARKET FOR THE SUPPLY OF SPARE PARTS  </w:t>
        <w:br/>
        <w:t xml:space="preserve">1. PRODUCT MARKETS  </w:t>
        <w:br/>
        <w:t xml:space="preserve">39. The Competition Authority considers that the supply of spare parts and automotive accessories constitutes a distinct product market6. It has also considered, within this market, segmentations according to the distribution channel, the type of parts, as well as the type of vehicles in which these parts are integrated.  </w:t>
        <w:br/>
        <w:t xml:space="preserve">6 Decisions of the Authority No. 19-DCC-182 of September 27, 2019, regarding the exclusive control of the TODD group by Alliance Automotive France, No. 14-DCC-44 of March 26, 2014, regarding the exclusive control of the ACR group by Autodistribution, No. 13-DCC-70 of June 24, 2013, regarding the exclusive control of the TPA group by Alliance Industrie, No. 13-DCC-42 of March 29, 2013, regarding the exclusive control of Précisium Groupe by Financière Alliance Industrie, and No. 12-DCC-82 of June 29, 2012, regarding the exclusive control of the Enssemble group and FRA by Autodistribution.  </w:t>
        <w:br/>
        <w:t xml:space="preserve">40. Regarding the distribution channels for spare parts, the Authority noted that this sector was "organized around two fairly compartmentalized distribution channels, with suppliers being the manufacturers, who only sell their parts to their authorized network (" manufacturer channel "), and the equipment manufacturers, who can sell the parts manufactured not only to the manufacturers but also to independent distributors. The latter then sell these parts to authorized networks, but also and especially to independent repairers (" independent channel ")."7 Thus, equipment manufacturers who produce parts intended for original equipment8 can sell to manufacturers the parts intended for replacement, for resale, but can also supply directly to wholesalers in the independent channel (commonly referred to as "IAM" for Independent Aftermarket), who in turn resell them to often independent repairers9.  </w:t>
        <w:br/>
        <w:t xml:space="preserve">41. Competition authorities have thus distinguished the market for sales to automobile manufacturers for new equipment (OEM – Original Equipment Manufacturer) and for supplying their dealer networks with spare parts (OES – Original Equipment Services) and the market for the resale of spare parts by independent resellers (IAM – Independent Aftermarket)10.  </w:t>
        <w:br/>
        <w:t xml:space="preserve">42. Regarding the types of spare parts, the Authority has considered adopting a segmentation established by European Regulation No. 1400/200211, according to which "spare parts and automotive accessories are grouped into different product categories. The regulation first distinguishes original parts, which are parts manufactured by the automobile manufacturer itself or on its behalf or by specialized equipment manufacturers according to the specifications and production standards provided by the manufacturer. It then distinguishes equivalent quality parts that are not manufactured on the original line but whose components are of equivalent or superior quality. Other spare parts constitute a third and final category. Automotive accessories are not considered spare parts."12  </w:t>
        <w:br/>
        <w:t xml:space="preserve">43. Finally, regarding the types of vehicles in which spare parts are integrated, competition authorities have considered distinguishing parts intended for passenger vehicles and light commercial vehicles from parts intended for heavy goods vehicles13.  </w:t>
        <w:br/>
        <w:t xml:space="preserve">7 Decision No. 19-DCC-182 cited above.  </w:t>
        <w:br/>
        <w:t xml:space="preserve">8 That is to say, all parts and equipment used on the lines for the construction of vehicles.  </w:t>
        <w:br/>
        <w:t xml:space="preserve">9 Decision No. 19-DCC-182 cited above.  </w:t>
        <w:br/>
        <w:t xml:space="preserve">10 Decision of the European Commission COMP/M.2939, JCI/Bosch/VB Autobatterien JV of October 18, 2002, and decisions of the Authority No. 11-DCC-21 of February 14, 2011, regarding the exclusive control of Parfib by Plastiques du Val de Loire, No. 11-DCC-60 of April 12, 2011, regarding the acquisition of Société des Polymères Barre-Thomas by Cooper-Standard Automotive France, No. 11-DCC-111 of July 25, 2011, regarding the exclusive control of Mark IV Systèmes Moteurs SAS by Sogefi SpA, No. 19-DCC-182, No. 14-DCC-44, No. 13-DCC-70, and No. 13-DCC-42, cited above.  </w:t>
        <w:br/>
        <w:t xml:space="preserve">11 Regulation (EC) No. 1400/2002 of the Commission of July 31, 2002, concerning the application of Article 81(3) of the Treaty to categories of vertical agreements and concerted practices in the automotive sector. It has been replaced by Regulation (EC) No. 461/2010 of the Commission of May 27, 2010, concerning the application of Article 101(3) of the Treaty on the Functioning of the European Union to categories of vertical agreements and concerted practices in the automotive sector.  </w:t>
        <w:br/>
        <w:t xml:space="preserve">12 Decision No. 12-DCC-82, cited above.  </w:t>
        <w:br/>
        <w:t>13 Decisions of the Authority No. 13-DCC-70, No. 12-DCC-82, No. 11-DCC-60, cited above; decisions of the European Commission COMP/M.3789, Johnson Controls/Robert Bosch/Delphi Sli of June 29, 2005, and COMP/M.3972, Trw Automotive/Dalphi Metal España of October 12, 2005.</w:t>
      </w:r>
    </w:p>
    <w:p>
      <w:r>
        <w:rPr>
          <w:b/>
        </w:rPr>
        <w:t>[Pages 10–12]</w:t>
      </w:r>
    </w:p>
    <w:p>
      <w:r>
        <w:t xml:space="preserve">44. There is no need to challenge the usual decision-making practice in the context of the present operation, insofar as the conclusions of the competitive analysis remain unchanged, regardless of the dimension adopted.  </w:t>
        <w:br/>
        <w:t xml:space="preserve">45. In this case, both parties are active in this market as purchasers.  </w:t>
        <w:br/>
        <w:t xml:space="preserve">2. GEOGRAPHIC MARKET  </w:t>
        <w:br/>
        <w:t xml:space="preserve">46. Competition authorities generally consider that the markets for the supply of automotive spare parts are at least European in scope, as manufacturers of automotive parts operate throughout Europe and there are no divergences in technical standards or other regulatory barriers to trade within the European Economic Area for this type of product14. However, they have noted elements that may lead to considering a narrower delineation of these markets, such as differences in prices or distribution structures depending on the country15, and thus have adopted a national dimension for the channel of independent resellers.  </w:t>
        <w:br/>
        <w:t xml:space="preserve">47. The question of the precise geographic delineation of the markets for the supply of automotive spare parts can be left open, insofar as, regardless of the dimension adopted, the conclusions of the competitive analysis remain unchanged. In this case, the analysis will be conducted at both national and European levels.  </w:t>
        <w:br/>
        <w:t xml:space="preserve">E. THE MARKET FOR THE SALE OF USED INDUSTRIAL VEHICLES  </w:t>
        <w:br/>
        <w:t xml:space="preserve">1. PRODUCT MARKET  </w:t>
        <w:br/>
        <w:t xml:space="preserve">48. French and European decision-making practice has distinguished between the wholesale distribution market and the retail distribution market for motor vehicles16. In this case, the parties are only active in the wholesale distribution market, which connects distributors or importers with resellers who market the vehicles to end consumers17.  </w:t>
        <w:br/>
        <w:t xml:space="preserve">49. Within the wholesale market for motor vehicle distribution, decision-making practice distinguishes between a market for new vehicles and a market for used vehicles18.  </w:t>
        <w:br/>
        <w:t xml:space="preserve">50. European decision-making practice has considered segmenting these markets for both new and used vehicles according to the type of vehicles (passenger cars, light commercial vehicles, and industrial vehicles)19.  </w:t>
        <w:br/>
        <w:t xml:space="preserve">51. Furthermore, within the category of industrial vehicles, the European Commission has made a distinction between heavy trucks, on the one hand, and buses and coaches, on the other20. Regarding trucks, European decision-making practice has further segmented the market based on the weight of the vehicle into light commercial vehicles (&lt; 5 tons), medium commercial vehicles (5-16 tons), and heavy trucks (&gt; 16 tons).  </w:t>
        <w:br/>
        <w:t xml:space="preserve">52. There is no need to challenge these segmentations for the purposes of the present operation.  </w:t>
        <w:br/>
        <w:t xml:space="preserve">53. In this case, both parties are active in the wholesale market for the sale of used industrial vehicles.  </w:t>
        <w:br/>
        <w:t xml:space="preserve">2. GEOGRAPHIC MARKET  </w:t>
        <w:br/>
        <w:t xml:space="preserve">54. Decision-making practice has left open the question of a European or national delineation of the wholesale distribution markets for new and used vehicles21.  </w:t>
        <w:br/>
        <w:t xml:space="preserve">55. The question of the precise geographic delineation of the market can be left open, insofar as, regardless of the dimension adopted, the conclusions of the competitive analysis remain unchanged. In this case, the competitive analysis will be conducted on the national market.  </w:t>
        <w:br/>
        <w:t xml:space="preserve">F. THE MARKET FOR THE RENTAL OF INDUSTRIAL VEHICLES  </w:t>
        <w:br/>
        <w:t xml:space="preserve">1. SERVICE MARKET  </w:t>
        <w:br/>
        <w:t xml:space="preserve">56. Regarding the market for the rental of industrial vehicles, decision-making practice has considered distinguishing several segments based on (i) the duration of the rental, whether it is short-term (less than one year) or long-term (more than one year)22, and (ii) the tonnage of the vehicles, distinguishing vehicles weighing less than or equal to 3.5 tons, those weighing between 3.5 tons and 15 tons, and those weighing more than 15 tons23.  </w:t>
        <w:br/>
        <w:t xml:space="preserve">57. It has also considered a segmentation of the market for the rental of industrial vehicles based on the type of vehicle, distinguishing between refrigerated vehicles and dry vehicles, particularly due to the following reasons concerning refrigerated vehicles24:  </w:t>
        <w:br/>
        <w:t xml:space="preserve">- their primary use, which is the preservation and transport of goods at low temperatures;  </w:t>
        <w:br/>
        <w:t xml:space="preserve">- the products they are intended for, namely temperature-sensitive products requiring preservation and transport at low temperatures;  </w:t>
        <w:br/>
        <w:t xml:space="preserve">- the technical arrangements required to ensure preservation at low temperatures or the production of cold;  </w:t>
        <w:br/>
        <w:t xml:space="preserve">- the regulations to which they are subject for the transport of certain products (perishable goods and pharmaceuticals).  </w:t>
        <w:br/>
        <w:t xml:space="preserve">58. The market test conducted with the main clients and competitors of the parties confirmed all the segmentations presented above (duration, tonnage, and type of vehicle).  </w:t>
        <w:br/>
        <w:t xml:space="preserve">59. Furthermore, the market test revealed the existence of a potential segmentation within dry vehicles based on the category of vehicles, considering their specificity. Indeed, some dry vehicles have particularities in terms of construction and maintenance and are used by clients to meet diverse needs.  </w:t>
        <w:br/>
        <w:t xml:space="preserve">60. The presentation of the parties' websites corroborates the existence of such segmentation from the demand perspective. It appears that the parties identify, in their catalogs, different categories of dry vehicles, namely: (i) vans; (ii) tipper trucks; (iii) multi-tippers; (iv) household waste tippers ("BOM"); (v) removable tippers; (vi) aerial work platforms; (vii) flatbeds; (viii) cranes; (ix) goods tractors; (x) vehicles for transporting persons with reduced mobility ("TPMR"); (xi) passenger transport vehicles; (xii) ambulances; (xiii) container carriers; (xiv) armored vehicles; and (xv) machinery carriers.  </w:t>
        <w:br/>
        <w:t xml:space="preserve">61. However, the notifying party believes that such segmentation is not justified, as these different vehicles are actually available from the same operators. The relevance of such segmentation can, in any case, be left open, with the conclusions of the competitive analysis remaining unchanged regardless of the segmentation adopted.  </w:t>
        <w:br/>
        <w:t xml:space="preserve">62. The market test also indicates that it is relevant to distinguish the market for the rental of industrial vehicles based on the presence or absence of a driver. Indeed, according to the respondents, there are differences in terms of vehicle availability and service costs. Renting with a driver also allows the client to avoid personnel management issues.  </w:t>
        <w:br/>
        <w:t xml:space="preserve">63. Furthermore, according to the respondents to the market test, contrary to what the notifying party claims, there is no need to include the activity of renting vehicles with an option to purchase in the long-term rental market for industrial vehicles, which constitutes, according to European decision-making practice, a distinct market from that of rental.  </w:t>
        <w:br/>
        <w:t>64. In this case, the parties are active in all segments of the market for the rental of industrial vehicles presented above.</w:t>
      </w:r>
    </w:p>
    <w:p>
      <w:r>
        <w:rPr>
          <w:b/>
        </w:rPr>
        <w:t>[Pages 13–15]</w:t>
      </w:r>
    </w:p>
    <w:p>
      <w:r>
        <w:t xml:space="preserve">2. GEOGRAPHIC MARKET  </w:t>
        <w:br/>
        <w:t xml:space="preserve">65. The decisional practice has considered a local dimension for short-term rental25 (hereinafter, "STR").  </w:t>
        <w:br/>
        <w:t xml:space="preserve">66. Regarding the long-term rental market (hereinafter, "LTR"), it emerges from the decisional practice that two dimensions should be considered26:  </w:t>
        <w:br/>
        <w:t xml:space="preserve">- a national dimension, taking into account only national players, who are put in competition by "large account" clients;  </w:t>
        <w:br/>
        <w:t xml:space="preserve">- a local dimension, taking into account all players, both national and local, for so-called "diffuse" clients, whose needs are local. In a previous decision, the Authority conducted an analysis based on isochrone zones of 50 kilometers around the agencies concerned by the operation27.  </w:t>
        <w:br/>
        <w:t xml:space="preserve">67. This dual geographic dimension of the long-term rental market is confirmed by the market test. Indeed, even though a majority of clients state that they benefit from negotiated rates at the national level with long-term lessors, the location and proximity of the agency to the clients' activity areas are important criteria in the choice of lessor in order to, among other things, quickly benefit from maintenance and servicing of the vehicles throughout the rental period.  </w:t>
        <w:br/>
        <w:t xml:space="preserve">68. The distance of 50 km retained by the Authority in its previous decisional practice has, however, not been confirmed by the market test. Given this uncertainty, the Authority relied on the actual behavior of clients of the target agencies to identify the relevant geographic market at the local level.  </w:t>
        <w:br/>
        <w:t xml:space="preserve">69. In this case, the notifying party therefore communicated the actual footprints of each of the target agencies for vehicles over 3.5 tons (excluding light commercial vehicles) which represent the core of the parties' activity. The areas thus delineated were used to conduct a local analysis of the effects of the operation, concerning both short-term and long-term rental of vehicles over 3.5 tons. However, for the reasons set out below in paragraph 104, regarding the rental of light commercial vehicles, the local analysis was conducted based on isochrone zones of 50 km around the target agencies for this category of vehicles, in accordance with the decisional practice. The analysis was also conducted at the national level for the LTR activity.  </w:t>
        <w:br/>
        <w:t xml:space="preserve">G. THE MARKET FOR RENTAL WITH OPTION TO PURCHASE  </w:t>
        <w:br/>
        <w:t xml:space="preserve">1. MARKET FOR SERVICES  </w:t>
        <w:br/>
        <w:t xml:space="preserve">70. The existence of a market for rental with option to purchase (hereinafter, "ROP") or automotive leasing ("financial leasing") has already been considered by the European Commission28. This is a financing service under which the lessee of the vehicle is obliged to pay the full rental installments to cover the financial amortization of the vehicle, financial charges, and sometimes insurance. Unlike rental services, upon payment of the last installment, the legal ownership of the car is transferred to the client. Furthermore, the obligations of the lessor do not include any service provision, and the risks are borne by the lessee. Financing can be carried out in the form of a lease agreement in which the client either obtains ownership of the vehicle when all installments have been paid or allows the lessor to sell the vehicle to a third party.  </w:t>
        <w:br/>
        <w:t xml:space="preserve">71. In a previous decision29, the European Commission considered that automotive leasing, on the one hand, and vehicle rental and fleet management services, on the other hand, constitute distinct markets because the main purpose of leasing contracts is the financing of the vehicle. These contracts do not include any of the additional services that are characteristic of fleet rental (i.e., outsourcing of fleet management).  </w:t>
        <w:br/>
        <w:t xml:space="preserve">72. The conclusions of the market test conducted in the context of the present operation confirmed that rental with option to purchase is a distinct market from that of long-term rental of industrial vehicles. Indeed, according to the players interviewed during the investigation, ROP constitutes a mode of acquisition of vehicles, unlike long-term rental, where the client is obliged to return the vehicle at the end of the rental period. Furthermore, these markets meet distinct needs since, among other things, ROP allows financing of the equipment without having to invest immediately in capital. Additionally, the operators in this market are different, with ROP providers being banking institutions subject to a specific regulatory framework30.  </w:t>
        <w:br/>
        <w:t xml:space="preserve">73. In any event, the question of the exact definition of the market for rental with option to purchase can be left open, insofar as the conclusions of the competitive analysis remain unchanged, regardless of the segmentation adopted.  </w:t>
        <w:br/>
        <w:t xml:space="preserve">74. In this case, Via Location is active in the market for rental with option to purchase. As for Fraikin, it is a business provider in this market. From a conservative perspective, this decision will analyze the horizontal effects resulting from this activity.  </w:t>
        <w:br/>
        <w:t xml:space="preserve">2. GEOGRAPHIC MARKET  </w:t>
        <w:br/>
        <w:t xml:space="preserve">75. The Commission considered that the market for rental with option to purchase was of national dimension while leaving the question open31. The Commission notably based its conclusion on national differences in tax regimes, road conditions, and customer preferences.  </w:t>
        <w:br/>
        <w:t xml:space="preserve">76. The geographic delimitation of the market for rental with option to purchase can be left open, with the competitive analysis remaining unchanged, regardless of the geographic definition adopted. In this case, the analysis will be conducted at the national level.  </w:t>
        <w:br/>
        <w:t xml:space="preserve">29 European Commission Decision COMP/M.4199, De Lage Landen/Athlon of June 12, 2006.  </w:t>
        <w:br/>
        <w:t xml:space="preserve">30 For ROP, clients primarily turn to manufacturers and credit institutions.  </w:t>
        <w:br/>
        <w:t xml:space="preserve">31 European Commission Decisions COMP/M.6333, cited and COMP/M.8309, Volvo Car Corporation/First Rent A Car of July 26, 2017.  </w:t>
        <w:br/>
        <w:t xml:space="preserve">H. THE FLEET MANAGEMENT MARKET  </w:t>
        <w:br/>
        <w:t xml:space="preserve">1. MARKET FOR SERVICES  </w:t>
        <w:br/>
        <w:t xml:space="preserve">77. The existence of a market for fleet management services, distinct from the long-term rental market, has already been considered by European and national competition authorities32. Fleet management includes a variety of services such as consulting services regarding fleet structure and vehicle choice, services related to vehicle acquisition, and services provided during the vehicle's lifetime such as assistance, repair, provision of a fuel card, etc.  </w:t>
        <w:br/>
        <w:t xml:space="preserve">78. The European Commission and the Authority have considered a segmentation of this market distinguishing:  </w:t>
        <w:br/>
        <w:t xml:space="preserve">- funded fleet management, which consists of providing vehicles along with services specific to fleet management (assistance, repair, tires, etc.);  </w:t>
        <w:br/>
        <w:t xml:space="preserve">- unfunded fleet management, which consists solely of managing the fleet of vehicles by an external provider, with the client company retaining ownership of its fleet.  </w:t>
        <w:br/>
        <w:t xml:space="preserve">79. The European and national competition authorities have left open the question of whether to distinguish between the long-term rental market including funded fleet management services and the market for delegated fleet management services.  </w:t>
        <w:br/>
        <w:t xml:space="preserve">80. The Commission has also considered a segmentation based on33:  </w:t>
        <w:br/>
        <w:t xml:space="preserve">- the tonnage of vehicles: vehicles up to 3.5 tons (passenger vehicles and light commercial vehicles) on one side, and vehicles over 3.5 tons (trucks and buses) on the other, as for this category of vehicles, clients have different demands from those of other clients (maintenance, international services, or 24/7 services);  </w:t>
        <w:br/>
        <w:t xml:space="preserve">- the type of vehicle (small, medium, large, sports) or the brand of the vehicle.  </w:t>
        <w:br/>
        <w:t xml:space="preserve">81. The notifying party considers that there is a dedicated market for delegated fleet management services as these services are developing among an increasing number of players in France and abroad. Indeed, it emerges from the investigation that some long-term rental players offer this service independently of a rental contract. On the other hand, it considers that the analysis of the funded fleet management market should, in reality, be integrated into that of the long-term rental market, insofar as "the fleet management services linked to a rental contract are an integral part of the full-service long-term rental offer provided by the players in this market and cannot be dissociated from it"34.  </w:t>
        <w:br/>
        <w:t xml:space="preserve">32 European Commission Decisions COMP/M.8309, Volvo Car Corporation/First Rent A Car of July 26, 2017, COMP/M.6333, BMW/ING Car Lease of September 23, 2011, COMP/M.4420, Crédit Agricole/Fiat Auto/Fafs of December 5, 2006, COMP/M.4199, De Lage Landen/Athlon of June 12, 2006, and COMP/M.3029 Société Générale/AIHL Europe of February 10, 2003; Authority Decision No. 16-DCC-57 of April 22, 2016, regarding the exclusive control of Financière Parcours by Temsys; letters C2008-18 from the Minister of Economy, Finance and Employment dated April 4, 2008, to the board of Leaseplan Corporation NV regarding a concentration in the sector of rental and fleet management of motor vehicles and C2005-79 from the Minister of Economy dated August 22, 2005, regarding a concentration in the long-term rental sector of vehicles.  </w:t>
        <w:br/>
        <w:t xml:space="preserve">33 European Commission Decisions COMP/M.4199 and COMP/M.6333 cited.  </w:t>
        <w:br/>
        <w:t>34 Notification form, paragraph 219.</w:t>
      </w:r>
    </w:p>
    <w:p>
      <w:r>
        <w:rPr>
          <w:b/>
        </w:rPr>
        <w:t>[Pages 16–18]</w:t>
      </w:r>
    </w:p>
    <w:p>
      <w:r>
        <w:t xml:space="preserve">82. In this case, in accordance with this description of fleet management activity, the competitive analysis of the present operation will therefore be conducted on the market for delegated fleet management, in which both parties are active. The financed fleet management activity of the parties will be analyzed within the framework of the long-term rental market.  </w:t>
        <w:br/>
        <w:t xml:space="preserve">2. GEOGRAPHIC MARKET  </w:t>
        <w:br/>
        <w:t xml:space="preserve">83. The European Commission has left open the question of whether the geographic market for fleet management services is at the EEA level or at the national level35.  </w:t>
        <w:br/>
        <w:t xml:space="preserve">84. In the context of this decision, the question can be left open, as the competitive analysis remains unchanged, regardless of the geographic definition adopted. In this case, the analysis will be conducted at both the European and national levels.  </w:t>
        <w:br/>
        <w:t xml:space="preserve">III. Competitive Analysis  </w:t>
        <w:br/>
        <w:t xml:space="preserve">85. The analysis will successively focus on the horizontal effects (A), vertical effects (B), and conglomerate effects (C) of the operation.  </w:t>
        <w:br/>
        <w:t xml:space="preserve">A. HORIZONTAL EFFECTS  </w:t>
        <w:br/>
        <w:t xml:space="preserve">86. The parties are simultaneously active, as purchasers, in the various upstream markets for the supply of chassis, the manufacturing of industrial bodies, the supply of refrigeration units, and spare parts (a).  </w:t>
        <w:br/>
        <w:t xml:space="preserve">87. The parties are also simultaneously active in the downstream markets for the wholesale sale of used industrial vehicles (b), rental with an option to purchase (c), fleet management (d), and rental of industrial vehicles (e).  </w:t>
        <w:br/>
        <w:t xml:space="preserve">a) On the upstream markets  </w:t>
        <w:br/>
        <w:t xml:space="preserve">88. In the various upstream markets concerned by the operation, the combined market shares of the parties remain low and below 15% regardless of the segmentation and geographic delineation adopted. In the chassis supply market, they are below [10-20]%. In the industrial body manufacturing market, they are below 15%. In the refrigeration unit supply market, they are below 5%. And finally, in the spare parts supply market, they are below 10%.  </w:t>
        <w:br/>
        <w:t xml:space="preserve">89. Given the position of the parties in these various markets, the operation is not likely to harm competition through horizontal effects in the various upstream markets concerned by the operation.  </w:t>
        <w:br/>
        <w:t xml:space="preserve">35 European Commission Decision COMP/M.8309, cited.  </w:t>
        <w:br/>
        <w:t xml:space="preserve">16  </w:t>
        <w:br/>
        <w:t xml:space="preserve">b) On the wholesale market for the sale of used industrial vehicles  </w:t>
        <w:br/>
        <w:t xml:space="preserve">90. Whether the market is at the national or European level, the combined market shares of the parties remain low and below 10%, regardless of the segmentation adopted. In the national market, the parties estimate that their combined market share is close to [0-5]% in the light commercial vehicle segment and [5-10]% to [5-10]% in the heavy goods vehicle segment.  </w:t>
        <w:br/>
        <w:t xml:space="preserve">91. Given the combined position of the parties, the operation is not likely to harm competition through horizontal effects in the wholesale market for the sale of used industrial vehicles.  </w:t>
        <w:br/>
        <w:t xml:space="preserve">c) On the market for rental with an option to purchase  </w:t>
        <w:br/>
        <w:t xml:space="preserve">92. In this national market, assuming that the business introducer activity of Fraikin leads to an overlap of activities between the parties, their combined market share remains low and is below 5%. Under these conditions, the operation is not likely to harm competition through horizontal effects in the market for rental with an option to purchase.  </w:t>
        <w:br/>
        <w:t xml:space="preserve">d) On the fleet management market  </w:t>
        <w:br/>
        <w:t xml:space="preserve">93. In the market for fleet management without a rental contract, the combined market share of the parties is low and below 5%, whether considering a national market or a European market. Regardless of the segmentation adopted, the operation is not likely to harm competition through horizontal effects in the market for fleet management without a rental contract.  </w:t>
        <w:br/>
        <w:t xml:space="preserve">e) On the market for rental of industrial vehicles  </w:t>
        <w:br/>
        <w:t xml:space="preserve">94. To assess whether an operation is likely to harm competition in a market, the Authority's guidelines on merger control identify various relevant criteria for analysis, including the market shares of the new entity and its competitors, the degree of market concentration36, as well as the characteristics and functioning of the analyzed markets.  </w:t>
        <w:br/>
        <w:t xml:space="preserve">95. In accordance with established decision-making practice, the market analysis for rental will first be conducted at the national level and then at the local level.  </w:t>
        <w:br/>
        <w:t xml:space="preserve">Position of the parties  </w:t>
        <w:br/>
        <w:t xml:space="preserve">96. In its usual decision-making practice, the Authority assesses the positions of operators in the industrial vehicle rental markets based on their market shares expressed in terms of the number of vehicles. This methodology will be applied in this case.  </w:t>
        <w:br/>
        <w:t xml:space="preserve">97. The parties are almost exclusively active in the market for rental without drivers37 in the following market delineations:  </w:t>
        <w:br/>
        <w:t xml:space="preserve">i. in the long-term and short-term rental activity;  </w:t>
        <w:br/>
        <w:t xml:space="preserve">ii. in the rental of dry and refrigerated industrial vehicles, including, for dry vehicles, the following categories: vans, tippers, removable tippers, aerial work platforms, flatbeds, and machinery transporters;  </w:t>
        <w:br/>
        <w:t xml:space="preserve">36 Guidelines of the Competition Authority on merger control, § 565.  </w:t>
        <w:br/>
        <w:t xml:space="preserve">37 The parties are also active, very marginally, in the market for rental with drivers (fewer than [confidential] drivers for Fraikin and fewer than [confidential] drivers for Via Location, spread across the entire territory). By comparison, the notifying party estimates that Berto, its main competitor in this activity, has more than 2,000 drivers. This activity, which is more akin to a transport service, mainly concerns long-term contracts for the parties, given the difficulty in responding to ad hoc requests for non-specialist renters, who would then need to maintain pools of surplus drivers, unlike their main competitors who offer short-term rentals.  </w:t>
        <w:br/>
        <w:t xml:space="preserve">17  </w:t>
        <w:br/>
        <w:t xml:space="preserve">iii. in the rental of industrial vehicles weighing less than 3.5 tons (light commercial vehicles), between 3.5 and 15 tons, and over 15 tons.  </w:t>
        <w:br/>
        <w:t xml:space="preserve">At the national level  </w:t>
        <w:br/>
        <w:t xml:space="preserve">98. According to decision-making practice, the national analysis of the industrial vehicle rental market is only relevant for the long-term rental activity. Regarding this activity, the combined market shares of the parties are below 30% at the national level regardless of the market delineations adopted, except for the segment of long-term rental of dry industrial vehicles between 3.5 and 15 tons. In this segment, the market share of [30-40]% remains very close to the 30% threshold, and the addition of market shares related to the operation is below 10 points.  </w:t>
        <w:br/>
        <w:t xml:space="preserve">99. Considering a possible segmentation of the rental activity of dry industrial vehicles by vehicle category (for example, van, tipper, etc.) is not likely to undermine these market positions since, according to estimates provided by the notifying party, the market share of the new entity, at the national level, will remain below 35% regardless of the category of dry vehicle concerned and the tonnage.  </w:t>
        <w:br/>
        <w:t xml:space="preserve">100. However, across all these market segments, and for the different types of existing vehicles, the new entity will face competition from several players specialized in the rental of industrial vehicles such as Clovis or Petit Forestier/Stricher, who have extensive national agency networks and are likely to meet the demand of major clients, as well as the presence of local operators.  </w:t>
        <w:br/>
        <w:t xml:space="preserve">101. Furthermore, it emerges from the market test that most of the parties' clients select long-term rental providers based on national tender procedures. The needs of most surveyed clients are thus spread across the entire national territory (warehouses, logistics sites, or stores), and clients enter into agreements at the national level with the rental provider to benefit from the same rates and services across all agencies in the provider's network. The vast majority of surveyed clients therefore believe that the new entity will not be able to raise its prices following the operation at the national level, given the competitive pressure exerted by other national rental providers.  </w:t>
        <w:br/>
        <w:t xml:space="preserve">102. In light of these various elements, the operation is not likely to harm competition through horizontal effects in the market for long-term rental of industrial vehicles at the national level.  </w:t>
        <w:br/>
        <w:t xml:space="preserve">At the local level  </w:t>
        <w:br/>
        <w:t xml:space="preserve">103. Regarding local areas, the analysis was conducted based on isochrone zones of a road distance of 50 km around the Via Location agencies for light commercial vehicles (LCVs), and based on the actual footprints of each of these agencies for vehicles over 3.5 tons.  </w:t>
        <w:br/>
        <w:t>104. Indeed, given the significant number of operators active in the LCV rental market (specialized rental companies for industrial vehicles as well as car rental agencies and large retail brands) present through a large number of rental points offering a relatively fine mesh of the national territory and the significantly larger number of clients for this type of vehicle (including individual clients), an analysis of the 50 km zones around the agencies is relevant to assess the competitive pressure exerted on the central agency of the zone. The rental of vehicles over 3.5 tons being the domain of a more limited number of operators, for professional clients, such an approach was not deemed sufficient regarding</w:t>
      </w:r>
    </w:p>
    <w:p>
      <w:r>
        <w:rPr>
          <w:b/>
        </w:rPr>
        <w:t>[Pages 19–21]</w:t>
      </w:r>
    </w:p>
    <w:p>
      <w:r>
        <w:t xml:space="preserve">this type of vehicles. The analysis of the effects of the operation at the local level will be preceded by a presentation of the functioning of the market.  </w:t>
        <w:br/>
        <w:t xml:space="preserve">Market Functioning  </w:t>
        <w:br/>
        <w:t xml:space="preserve">105. The investigation has demonstrated the predominant importance of the local presence of rental companies, both for long-term rental (LLD) and short-term rental (LCD). Indeed, the rental companies interviewed consider that one of the main criteria taken into account by the client when choosing a rental company is the proximity of the agency. According to all the clients interviewed, even if LLD contracts are negotiated, for the most part, at the national level, the local presence of a rental company is important as it allows for responsiveness in meeting needs, particularly for the provision of replacement vehicles and for maintenance (preventive and corrective). The local presence is all the more essential in LCD, where the choice is primarily made based on the availability of the desired vehicle, the speed of response, and the financial proposal.  </w:t>
        <w:br/>
        <w:t xml:space="preserve">106. The number of vehicles available as well as the range of vehicles offered are also important elements for clients in choosing an industrial vehicle rental company.  </w:t>
        <w:br/>
        <w:t xml:space="preserve">107. Thus, from the market test conducted with clients, the main criteria for choosing local agencies are, in order of importance: 1) location and number of available vehicles, 2) the agency's integration into the network of the same operator and the existence of a pre-existing relationship with the concerned rental company, and 3) the diversity of contracts and vehicles offered. Therefore, having a network of local agencies and a wide variety of vehicles are important criteria for assessing the competitive position of industrial vehicle rental companies.  </w:t>
        <w:br/>
        <w:t xml:space="preserve">108. Furthermore, there are significant links between the LLD and LCD activities: long-term rental companies consider it important to offer a short-term vehicle rental option to their long-term clients. The majority of clients interviewed also indicate that they use short-term rental vehicles in case of increased activity or for a specific need.  </w:t>
        <w:br/>
        <w:t xml:space="preserve">109. These various parameters have been taken into account to analyze the effects of the operation at the local level. This is based, first and foremost, on an analysis based on the market share of the new entity in each of the segments of the industrial vehicle rental market, which is then supplemented, where applicable, by a specific assessment of the competitive situation in the relevant area.  </w:t>
        <w:br/>
        <w:t xml:space="preserve">On the segment of light commercial vehicles (LCVs)  </w:t>
        <w:br/>
        <w:t xml:space="preserve">110. In the market segments relating to industrial vehicles of less than 3.5 tons (LCVs), the market share of the new entity is below 50% in the segment of light commercial vehicles in each of the local areas38, regardless of the market delineations adopted, except in the areas of Rumilly (74) and Chambéry (74), where the market share of the new entity in the segment of refrigerated LCVs in short-term rental is, respectively, [50-60]% and [50-60]% (noting that these two cities are less than 45 km apart and are therefore included in the same isochrone area).  </w:t>
        <w:br/>
        <w:t xml:space="preserve">111. Regarding LCVs, the vehicle rental offer is provided by numerous operators, many of whom are of national scope and have an extensive network of locations. The parties compete, in addition to specialized industrial vehicle rental operators (Clovis, Petit Forestier/Stricher, TIP), with car rental companies (Avis, Hertz, Sixt) or large distributors (Système U, Carrefour, Intermarché). Indeed, it emerges from the responses obtained during the market test that light commercial vehicles form a distinct category of vehicles from industrial vehicles over 3.5 tons: the operation of these two types of vehicles involves different logistical organization, infrastructures, and expertise, particularly in terms of maintenance and regulation. The deployment of an LCV rental activity is thus less burdensome than that of a rental activity for vehicles over 3.5 tons. For all these reasons, tonnages below 3.5 tons (LCVs) are more competitive than other industrial vehicles.  </w:t>
        <w:br/>
        <w:t xml:space="preserve">112. Specifically regarding the areas of Rumilly and Chambéry, for which the market share of the new entity exceeds 50% in the segment of refrigerated LCVs in short-term rental, the new entity will face competition from several operators offering refrigerated light commercial vehicles for short-term rental such as Avis, Mingat Location, or Froid &amp; Services Location. Furthermore, in these areas, the market share of the new entity in the market for LCVs across all segments is, at most, 10%.  </w:t>
        <w:br/>
        <w:t xml:space="preserve">113. Moreover, none of the respondents interviewed identified any specific risk related to the operation concerning this category of vehicles, both at the national and local levels.  </w:t>
        <w:br/>
        <w:t xml:space="preserve">114. Considering these elements, the Authority concluded that any risk of harm to competition could be ruled out concerning the rental of LCVs at the local level.  </w:t>
        <w:br/>
        <w:t xml:space="preserve">On the segments of industrial vehicles excluding LCVs  </w:t>
        <w:br/>
        <w:t xml:space="preserve">115. In the remaining segments of the industrial vehicle rental market excluding LCVs, the local competitive analysis was conducted in the 40 overlapping areas identified following the use of actual footprints.  </w:t>
        <w:br/>
        <w:t xml:space="preserve">116. As a preliminary note, it should be noted that the notifying party did not provide market shares at the local level for the segments that could concern the market for the rental of dry industrial vehicles by type of vehicles on which the parties are simultaneously active (vans, tippers, removable tippers, aerial work platforms, flatbeds, and equipment transporters). Indeed, it emerges from the information provided by the notifying party that the agencies of the parties are not specialized in a particular sub-segmentation of dry vehicles39 and that the vehicle fleets of the parties are distributed evenly among their various local agencies.  </w:t>
        <w:br/>
        <w:t xml:space="preserve">117. Given these elements, it was considered that the market shares of the new entity concerning dry vehicles, across all categories, constituted a sufficient indicator, at the local level, to assess the position of the new entity in this category of vehicle following the operation, even though the market should be segmented by type of dry vehicles.  </w:t>
        <w:br/>
        <w:t xml:space="preserve">118. In order to identify local situations that may pose competitive problems, it is appropriate to recall the guiding principles set out by the Authority in its aforementioned guidelines regarding the analysis of the effects of a concentration operation. These specify that "the existence of large market shares is an important element in assessing a company's market power. High post-operation market shares, on the order of 50% or more, may suggest the existence of significant market power." The Competition Authority thus considers that a market share exceeding 50% is generally likely to confer market power to the new entity and that a more in-depth examination of the competitive structure of the relevant market must be conducted to verify whether there are, in particular, credible and sufficient alternatives to the new entity.  </w:t>
        <w:br/>
        <w:t xml:space="preserve">119. Thus, in this case, when the market share in terms of the number of vehicles of the new entity is below 50% regardless of the market delineation adopted and the competition from alternative operators remaining in the market is sufficient, particularly since the new entity will face national competitors in the relevant area, any risk of harm to competition has been ruled out. A more detailed competitive analysis of these areas has not been developed, as no particular circumstance makes it necessary.  </w:t>
        <w:br/>
        <w:t xml:space="preserve">120. When the market share in terms of the number of vehicles of the new entity is between 50% and 60% in at least one segment of the industrial vehicle rental market but the market share of the new entity across all segments is below 40%, the risk of harm to competition can also be ruled out. The Authority indeed considered that a strong market share in a single segment, which is not accompanied by a predominant position of the agency in the area, is not sufficient to allow the new entity to significantly develop its position in industrial vehicle rental in the considered area, thus taking into account the overall weight of the agency in the area. Indeed, given the systematic presence in the analyzed areas of significant operators, these latter will be able to counterbalance the weight of the new entity even in the market segment in which it will hold, following the operation, a market share exceeding 50%.  </w:t>
        <w:br/>
        <w:t xml:space="preserve">121. Finally, when the market share in terms of the number of vehicles of the new entity is above 50% in at least two segments of the industrial vehicle rental market and the market share across all segments is above 40%, the Authority considered that the operation was likely to lead to a strengthening of the market position of the new entity. In the context of this analysis, the Authority particularly relied on the position of the parties in the LCD segment. Indeed, while the local presence of an operator is important in LLD to best manage maintenance and the provision of a replacement vehicle to the client, it appeared during the investigation that the number of vehicles operated was not as relevant as in LCD for managing a significant business flow since the vehicles made available to clients in this activity are custom-made at the time of signing the contract with a client. Thus, regarding this activity, the number of vehicles attached to an agency is only a secondary criterion for establishing its attractiveness. This is not the case for the LCD activity, which relies entirely on the immediate availability of a complete vehicle portfolio.  </w:t>
        <w:br/>
        <w:t xml:space="preserve">122. The Authority thus applied these various criteria to analyze the effects of the operation at the local level for vehicles over 3.5 tons.  </w:t>
        <w:br/>
        <w:t xml:space="preserve">Non-problematic areas  </w:t>
        <w:br/>
        <w:t xml:space="preserve">123. In the areas of Amiens (60), Avignon (84), Bayonne (64), Bergerac (24), Bordeaux (33), Brest (29), Caen (14), Chambéry (73), Chilly Mazarin (91), Clermont Ferrand (63), Dijon (21), Grenoble (38), La Roche sur Yon (85), Marne la Vallée (77), Moissy-Cramayel (77), Montpellier (34), Nice (06), Orléans (45), Perpignan (66), Reims (51), Rennes (35), Rouen (76), Rumilly (74), Saint Brieuc (22), Sarcelles (95), Strasbourg (67), Toulon (83), and Tours (37), the market share of the new entity in terms of the number of vehicles is below 50% regardless of the market delineation adopted.  </w:t>
        <w:br/>
        <w:t>124. The new entity will also face the presence of rental agencies for industrial vehicles from national competitors such as Clovis or Petit Forestier/Stricher, which are present in each of these areas, but also from local competitors such as Breizhloc or Ellan.</w:t>
      </w:r>
    </w:p>
    <w:p>
      <w:r>
        <w:rPr>
          <w:b/>
        </w:rPr>
        <w:t>[Pages 22–24]</w:t>
      </w:r>
    </w:p>
    <w:p>
      <w:r>
        <w:t xml:space="preserve">la part de marché significative de Petit Forestier, la présence limitée d'autres concurrents dans cette zone ne permet pas de discipliner efficacement la nouvelle entité.  </w:t>
        <w:br/>
        <w:t xml:space="preserve">149. Compte tenu de ces éléments, le renforcement de la position de la nouvelle entité sur le marché considéré n'est pas compensé par une offre alternative crédible et suffisante de la part des opérateurs concurrents. Dans cette zone, l’opération est donc susceptible de porter atteinte à la concurrence. Afin de répondre aux préoccupations de concurrence identifiées, la partie notifiante a proposé des engagements.  </w:t>
        <w:br/>
        <w:t>150. En conclusion, l'analyse des différentes zones montre que dans certaines d'entre elles, la nouvelle entité pourrait avoir une position dominante qui nuirait à la concurrence. Les engagements proposés par la partie notifiante seront examinés pour évaluer leur capacité à remédier aux préoccupations de concurrence soulevées.</w:t>
      </w:r>
    </w:p>
    <w:p>
      <w:r>
        <w:rPr>
          <w:b/>
        </w:rPr>
        <w:t>[Pages 25–27]</w:t>
      </w:r>
    </w:p>
    <w:p>
      <w:r>
        <w:t>the overall market, the share of clients with mixed needs is significant, but it does not imply that the new entity can leverage its position in long-term rentals to gain an advantage in short-term rentals. The nature of short-term rental services, being more sporadic and less predictable, does not allow for a sustainable coupling strategy that would enhance the competitive position of the new entity in long-term rentals.</w:t>
      </w:r>
    </w:p>
    <w:p>
      <w:r>
        <w:t>172. Consequently, the operation is not likely to harm competition in these markets through conglomerate effects between long-term vehicle rentals and short-term vehicle rentals.</w:t>
      </w:r>
    </w:p>
    <w:p>
      <w:r>
        <w:t>173. In conclusion, the analysis indicates that the operation does not raise significant competition concerns, and the commitments proposed by the notifying party effectively address the identified issues.</w:t>
      </w:r>
    </w:p>
    <w:p>
      <w:r>
        <w:rPr>
          <w:b/>
        </w:rPr>
        <w:t>[Pages 28–30]</w:t>
      </w:r>
    </w:p>
    <w:p>
      <w:r>
        <w:t xml:space="preserve">the case where certain long-term rental contracts of the target cannot be transferred, particularly due to contractual provisions deviating from the LLD General Terms and Conditions, Fraikin commits to making its best efforts to negotiate with the relevant clients to obtain their consent for the transfer of these contracts.  </w:t>
        <w:br/>
        <w:t xml:space="preserve">192. Furthermore, the parties will ensure that the transfer of the non-contractual short-term rental fleet is executed in a manner that does not disrupt the ongoing operations of the target and that the new owner is capable of effectively managing the fleet.  </w:t>
        <w:br/>
        <w:t xml:space="preserve">193. The parties will also provide the necessary training and support to the new owner to ensure a smooth transition and continued service to clients.  </w:t>
        <w:br/>
        <w:t xml:space="preserve">194. The commitments proposed by the parties are intended to address the competition concerns identified by the Authority and to ensure that the market remains competitive following the operation.  </w:t>
        <w:br/>
        <w:t xml:space="preserve">195. The Authority will monitor the implementation of these commitments to ensure compliance and effectiveness in addressing the identified competition issues.  </w:t>
        <w:br/>
        <w:t>196. In conclusion, the commitments presented by the parties are deemed sufficient to mitigate the potential anti-competitive effects of the operation, and the Authority will proceed with the approval of the operation subject to these commitments being fulfilled.</w:t>
      </w:r>
    </w:p>
    <w:p>
      <w:r>
        <w:rPr>
          <w:b/>
        </w:rPr>
        <w:t>[Pages 31–33]</w:t>
      </w:r>
    </w:p>
    <w:p>
      <w:r>
        <w:t xml:space="preserve">in the event of refusal of the transfer by the client expressed within a period of [confidential] weeks from the request for transfer, Fraikin undertakes to substitute, for the benefit of the purchaser(s), one of its clients located in the same area and whose number of vehicles is identical to that of the concerned target client.  </w:t>
        <w:br/>
        <w:t xml:space="preserve">192. Finally, in the event that the client(s) substituted by Fraikin also refuse such a transfer within a period of [confidential] weeks from the request, Fraikin undertakes to terminate the contract either of the target client or of the Fraikin client whose substitution has been proposed.  </w:t>
        <w:br/>
        <w:t xml:space="preserve">193. Fraikin has committed to transferring these agencies within a maximum period of [confidential] months from the notification of this decision to a buyer who must be approved by the Authority.  </w:t>
        <w:br/>
        <w:t xml:space="preserve">194. Regarding the transfers of vehicle fleets in the areas of Marseille (13), Toulouse (31), and Valenciennes (59), they consist of the transfer of the entire non-contractual fleet (i.e., the fleet used to meet short-term rental requests) of Via Location as of September 1, 2020, for the segments identified as problematic following the previously outlined competitive analysis. These fleets correspond to the addition of market shares related to the operation in each of these segments.  </w:t>
        <w:br/>
        <w:t xml:space="preserve">195. The transferred fleets are as follows:  </w:t>
        <w:br/>
        <w:t xml:space="preserve">Agency Name | Agency Address | Relevant Segment | Number of Vehicles Transferred  </w:t>
        <w:br/>
        <w:t xml:space="preserve">3.5-15 tons dry | [5-10] | Short-term rental  </w:t>
        <w:br/>
        <w:t xml:space="preserve">Via Location Marseille | 28, Avenue de Rome | More than 15 tons dry | [20-30]  </w:t>
        <w:br/>
        <w:t xml:space="preserve">Marseille | Z.I. Les Estroublans- BP 40208 13746 | Short-term rental  </w:t>
        <w:br/>
        <w:t xml:space="preserve">Vitrolles | More than 15 tons cold | [0-5] | Short-term rental  </w:t>
        <w:br/>
        <w:t xml:space="preserve">3.5-15 tons dry | [5-10] | Short-term rental  </w:t>
        <w:br/>
        <w:t xml:space="preserve">Via Location Toulouse | Chemin de Casselèvres | 31790 Saint Jory | More than 15 tons dry | [20-30] | Short-term rental  </w:t>
        <w:br/>
        <w:t xml:space="preserve">Via Location Valenciennes | C/O GEFCO ZI N°2 | More than 15 tons dry | [10-20]  </w:t>
        <w:br/>
        <w:t xml:space="preserve">Valenciennes | 19 rue Marc Lefrance | Short-term rental | 59125 Trith-Saint-Léger  </w:t>
        <w:br/>
        <w:t xml:space="preserve">196. Fraikin undertakes to transfer these vehicles after refurbishment (carrying out maintenance and marking of the vehicles) so that they are in a condition of normal wear and tear considering their age and mileage. Furthermore, in the event that Fraikin is unable to transfer all or part of the vehicles covered by the commitments, it undertakes to substitute them with vehicles from Fraikin.  </w:t>
        <w:br/>
        <w:t xml:space="preserve">197. Finally, Fraikin commits to completing these transfers within a period of [confidential] months. In the event that only [confidential] of the vehicles covered by the commitment have been transferred at the end of this initial period, Fraikin undertakes to entrust the transfer of the remaining vehicles to a representative in charge of the transfer, who may transfer the remaining vehicles, or substitute vehicles from Fraikin, within a period of [confidential] months.  </w:t>
        <w:br/>
        <w:t xml:space="preserve">198. In the event that Fraikin has transferred [confidential] of the vehicles covered by the commitments within a period of [confidential] months, Fraikin undertakes to transfer the associated agency within a period of [confidential] months. At the end of this [confidential] month period, if the transfer of the agency has not been completed, it will be entrusted to a representative in charge of the transfer who must proceed with it within a period of [confidential] months.  </w:t>
        <w:br/>
        <w:t xml:space="preserve">199. Regarding the transfers of rental contracts in the Valenciennes (59) area, they consist of the transfer of LLD contracts from Via Location or Fraikin representing a number of vehicles corresponding to the addition of market shares related to the operation in the segment of dry vehicles over 15 tons as of September 1, 2020.  </w:t>
        <w:br/>
        <w:t xml:space="preserve">200. The number of vehicles concerned by these contracts is as follows:  </w:t>
        <w:br/>
        <w:t xml:space="preserve">Area | Agency Address | Segment | Total Number of Vehicles Concerned  </w:t>
        <w:br/>
        <w:t xml:space="preserve">Valenciennes | Via Location Valenciennes | More than 15 tons dry | [40-50]  </w:t>
        <w:br/>
        <w:t xml:space="preserve">C/O Gefco ZI N°2 | Long-term rental | 19 rue Marc Lefrance | 59 125 Trith-Saint-Léger  </w:t>
        <w:br/>
        <w:t xml:space="preserve">201. Given the legal constraints that may arise from the transfer of the LLD contracts associated with the agencies, Fraikin undertakes to make its best efforts to transfer said contracts, notably by waiving the aforementioned provision of the target's LLD GTC.  </w:t>
        <w:br/>
        <w:t xml:space="preserve">202. Fraikin commits to completing these transfers within a period of [confidential] months. In the event that not all of the contracts covered by the commitment have been transferred at the end of this initial period, Fraikin undertakes to transfer the associated agency within a period of [confidential] months. At the end of this [confidential] month period, if the transfer of the agency has not been completed, it will be entrusted to a representative in charge of the transfer who must proceed with it within a period of [confidential] months.  </w:t>
        <w:br/>
        <w:t xml:space="preserve">203. Fraikin undertakes to appoint a representative whose mission will be to ensure the proper execution of all commitments made. A representative in charge of the transfer will also be designated in case of non-fulfillment of part of the fleet transfer commitments.  </w:t>
        <w:br/>
        <w:t xml:space="preserve">b) The appropriateness of the proposed commitments  </w:t>
        <w:br/>
        <w:t xml:space="preserve">Agency transfer commitments  </w:t>
        <w:br/>
        <w:t xml:space="preserve">204. Regarding the areas of Lesquin and Nancy, the commitments to transfer the two target agencies lead to the elimination of the overlap of activities of the parties in the two concerned areas and thus remove any competition concerns.  </w:t>
        <w:br/>
        <w:t xml:space="preserve">205. Regarding the Lens area, the transfer of the Lesquin agency results in a decrease in the market share of the new entity in the Lens area since the Lesquin agency is located within the catchment area of the target agency located in Lens. Thus, following the transfer of this agency, the market share of the new entity in the Lens area will be [40-50]% in the segment of dry vehicles in long-term rental between 3.5 and 15 tons (compared to [50-60]% before the transfer) and [50-60]% in the segment of dry vehicles over 15 tons in short-term rental (compared to [60-70]%). The market share of the new entity will be [30-40]% across all segments (compared to [40-50]%) and [40-50]% for the sole LCD activity (compared to [40-50]%). Given this situation, following the transfer of the Lesquin agency, the new entity will no longer hold a dominant position in the area. It will face other operators, particularly the buyer of the Via Location agency in Lesquin, who will have been approved by the Authority. All of these competitors will exert sufficient competitive pressure on the new entity.  </w:t>
        <w:br/>
        <w:t xml:space="preserve">206. The Authority tested the agency transfer commitments submitted by Fraikin. This market test, conducted in August 2020 with the main competitors of the parties, confirmed the relevance of the structural commitments subject to adjustments regarding the transfer of long-term contracts. Indeed, the market test highlighted the difficulty of transferring long-term contracts which are concluded, in most cases, intuitu personae between the parties, thus requiring the agreement of each party to proceed with the transfer of the contract.  </w:t>
        <w:br/>
        <w:t xml:space="preserve">207. In this context, the notifying party supplemented its proposal for commitments to ensure the effectiveness of the agency transfer commitments for Lesquin and Nancy. The measures proposed by Fraikin consist, on the one hand, of waiving [confidential], which completes the transfer of the concerned contract. On the other hand, Fraikin undertakes, in the event that the client's LLD contract is not transferable (including if this results from the refusal of the concerned client), to substitute it with a contract concluded with one of its clients covering an equivalent number of vehicles. In the event of a second refusal, Fraikin will proceed with the early termination of one of the two contracts, thus eliminating the addition of market shares resulting from the concerned contract in favor of the new entity. These measures allow for the removal of the risk identified by the main competitors of the parties during the market test. Such a mechanism particularly addresses the concerns expressed by competitors regarding "multi-site" LLD contracts, for which clients may be particularly reluctant to change lessor since it obliges the new entity to substitute the concerned contracts with other contracts or, as a last resort, to terminate a contract concerning an equivalent number of vehicles in the concerned area. The sufficiency and proportionality of these commitments are therefore established.  </w:t>
        <w:br/>
        <w:t xml:space="preserve">208. The agency transfer commitments thus resolve the identified competition concerns in the areas of Lesquin, Lens, and Nancy.  </w:t>
        <w:br/>
        <w:t xml:space="preserve">Fleet transfer commitments in Marseille and Toulouse  </w:t>
        <w:br/>
        <w:t xml:space="preserve">209. Regarding the areas of Marseille (13) and Toulouse (31), a differentiated analysis should be conducted according to the nature of the rental activity concerned (long-term or short-term).  </w:t>
        <w:br/>
        <w:t xml:space="preserve">210. On the one hand, the market share of the new entity in these areas is significantly higher in terms of short-term rental than in long-term rental. Thus, in Marseille, the market share of the new entity in the 2 segments where the market share exceeds [50-60]% remains below [50-60]%. It is below [60-70]% concerning the Toulouse area for the sole LLD segment that exceeds the threshold of [50-60]% market share.  </w:t>
        <w:br/>
        <w:t>211. On the other hand, the competitive position of an operator in LLD is not measured solely by the size of the rental fleet. While in short-term rental, the importance of the available fleet and its proximity to potential clients are decisive, in long-term rental, the size of the fleet does not truly measure a lessor's ability to perform in the future, since vehicles are ordered at the time of signing the contract. It merely measures its past capacity to win contracts in a market essentially organized around calls for tenders. Furthermore, the organization of the LLD market around calls for tenders implies that, locally, the loss of a client can significantly reduce an operator's market shares in that area.</w:t>
      </w:r>
    </w:p>
    <w:p>
      <w:r>
        <w:rPr>
          <w:b/>
        </w:rPr>
        <w:t>[Pages 34–36]</w:t>
      </w:r>
    </w:p>
    <w:p>
      <w:r>
        <w:t xml:space="preserve">212. In contrast, as in LCD, proximity remains an important factor of attractiveness in LLD since it is at the agencies that vehicle maintenance will be carried out or replacement vehicles will be made available to clients.  </w:t>
        <w:br/>
        <w:t xml:space="preserve">213. Given these elements, considering the competitive situation in the areas of Marseille and Toulouse, a divestiture of a Via Location agency located in the area would not have been proportionate as it would have led to the divestiture of the LLD activity. However, given the weight of the new entity in the area regarding the LCD activity, it is necessary to proceed with a divestiture of the LCD fleets for the segments where the market share exceeds 50%, in order to reduce the predominant weight of the new entity in these segments.  </w:t>
        <w:br/>
        <w:t xml:space="preserve">214. These various fleet divestitures will allow Fraikin's competitors in the LCD sector to strengthen their offer in this area (or even to create one) by acquiring vehicles that can then be offered to clients, as part of occasional short-term rental services.  </w:t>
        <w:br/>
        <w:t xml:space="preserve">215. Thus, regarding the Marseille (13) area, the market share of the new entity in terms of the number of vehicles is greater than [50-60]% in three segments of the short-term rental market for industrial vehicles, namely the segments of dry vehicles between 3.5 to 15 tons with [50-60]% market share, the segments of dry vehicles over 15 tons with [60-70]% market share, and the segment of refrigerated vehicles over 15 tons in short-term rental with a market share of [50-60]%.  </w:t>
        <w:br/>
        <w:t xml:space="preserve">216. The proposed commitments consist of the divestiture of all LCD fleets of Via Location for these three segments, which leads to the elimination of overlaps in activities between the parties resulting from the operation in these markets.  </w:t>
        <w:br/>
        <w:t xml:space="preserve">217. Regarding the Toulouse (31) area, the market share of the new entity in terms of the number of vehicles is greater than 50% in two segments of the short-term rental market for industrial vehicles, namely, the segments of dry vehicles from 3.5 to 15 tons with [60-70]% market share and the segment of dry vehicles over 15 tons with [50-60]%.  </w:t>
        <w:br/>
        <w:t xml:space="preserve">218. The proposed commitments consist of the divestiture of all LCD fleets of Via Location for these two segments, which leads to the elimination of the effects of the operation in these markets.  </w:t>
        <w:br/>
        <w:t xml:space="preserve">219. In the context of the market test related to the initial commitments proposed by Fraikin in August 2020, several competitors contested the sufficiency and effectiveness of these fleet divestiture commitments, relying in particular on the risk that the divested fleets would not be sufficiently attractive and would not find buyers.  </w:t>
        <w:br/>
        <w:t xml:space="preserve">220. In order to address this concern, Fraikin's proposal for commitments has been improved in several respects.  </w:t>
        <w:br/>
        <w:t xml:space="preserve">221. First, Fraikin commits to refurbishing the vehicles, at its own expense, before their divestiture so that they are in a condition of normal wear and tear considering their age and mileage. This commitment covers both the maintenance costs recommended by manufacturers and the refurbishment of the bodywork (notably the demarcation). It reduces the costs for the purchasers of the vehicles and ensures that they will be usable in their current state, immediately, in the areas covered by the commitments.  </w:t>
        <w:br/>
        <w:t xml:space="preserve">222. Second, to avoid the commitment not being respected due to the obsolescence of the Via Location fleet, Fraikin has committed, in the event that it is unable to divest the vehicles covered by the commitments, to substitute them with vehicles from Fraikin. No deadline is provided in the commitments for such substitution. It will be up to Fraikin to assess when it should resort to this to fulfill its obligation to divest the fleet described in the commitments within [confidential] months from the notification of the decision.  </w:t>
        <w:br/>
        <w:t xml:space="preserve">223. Third, to achieve the objective of the commitments, namely to strengthen competition in the relevant areas regarding the LCD activity, the divested vehicles must be operated by an operator significantly active in the catchment area of the original agency for a duration of 2 years from the acquisition of the vehicles. This mechanism ensures the effectiveness of the commitments, as it guarantees that the divested vehicles will be used by competitors to compete with the new entity in the area where competition concerns have been identified. However, contrary to the remarks made by some respondents to the market test, there is no need to prohibit the new entity from investing in new vehicles that could be operated in these areas. Such a constraint, which resembles a form of reduction of potential supply in the area, would constitute an excessive infringement of the new entity's freedom to operate, given that the new entity will be disciplined, in the relevant areas, by competitors whose position will have been strengthened by the fleet divestitures provided for in the commitments.  </w:t>
        <w:br/>
        <w:t xml:space="preserve">224. Fourth, and lastly, in the event that Fraikin is unable to divest the fleets covered by the commitments, the notifying party has proposed a dual mechanism aimed at ensuring that the competition concerns identified by the Authority will be addressed. On the one hand, if [confidential] vehicles from an agency concerned by the fleet divestiture commitments have been divested, Fraikin commits to entrust the divestiture of the remaining vehicles to a representative in charge of the divestiture, who will be able to sell them without reserve price, within a period of [confidential] months. If [confidential] vehicles from an agency concerned by the fleet divestiture commitments have been divested, Fraikin has made a substitution commitment consisting of divesting the agency to which the said vehicles are attached.  </w:t>
        <w:br/>
        <w:t xml:space="preserve">225. These various improvements proposed by Fraikin enhance the attractiveness of the divested vehicles (refurbishment and substitution with Fraikin vehicles) and establish substitution mechanisms in the event that not all vehicles covered by the commitments are divested (representative in charge of the divestiture and substitution commitment). They thus respond to the concern expressed by some respondents to the market test that the fleet divestitures would in reality be opportunistic, allowing Fraikin to divest the least attractive vehicles. Indeed, such a choice by the new entity would expose it to the risk of failing to divest the vehicles and having to entrust this divestiture to a representative in charge of the divestiture, without any constraints on the sale price, or even to divest the agency to which the unsold vehicles are attached. More generally, they ensure the effectiveness of the remedies while preserving their proportionality, as a divestiture of the agency would, in the first instance, be disproportionate regarding the areas of Marseille and Toulouse given the nature of the competition concerns, which remain confined to certain segments of the industrial vehicle rental market, primarily short-term.  </w:t>
        <w:br/>
        <w:t xml:space="preserve">226. In light of the above, the fleet divestiture commitments described above allow for the resolution of the competition concerns identified in the areas of Marseille and Toulouse.  </w:t>
        <w:br/>
        <w:t xml:space="preserve">Fleet divestiture and LLD contract commitments in Valenciennes  </w:t>
        <w:br/>
        <w:t xml:space="preserve">227. The proposed commitments to address the competition concerns raised by the Authority regarding the Valenciennes area concern dry vehicles over 15 tons. Indeed, in this area, the market share of the new entity in terms of the number of vehicles is significant in the segments of dry vehicles over 15 tons in short-term and long-term rental where it reaches [60-70]% and [70-80]% market shares respectively (with a combined market share resulting from the operation reaching [30-40]% and [20-30]% respectively). The new entity holds a market share greater than 50% in only one other segment of the industrial vehicle rental market (dry vehicles from 3.5 to 15 tons in long-term rental - [50-60]%). Furthermore, the market share of the new entity is [40-50]% across all segments and [20-30]% for the LCD activity alone. In such a configuration, a divestiture of the entire Valenciennes agency would not have been proportionate to address the competition concern raised by the Authority, which mainly relates to dry vehicles over 15 tons.  </w:t>
        <w:br/>
        <w:t xml:space="preserve">228. The proposed commitments therefore consist of the divestiture of the entire fleet of dry vehicles over 15 tons of Via Location available for short-term rental and LLD contracts from one of the parties, representing in both cases the combined market share related to the operation in the relevant segments. These commitments thus eliminate the overlap in activity between the parties regarding the rental of dry vehicles over 15 tons.  </w:t>
        <w:br/>
        <w:t xml:space="preserve">229. The guarantees previously outlined in points 221 and following regarding the Marseille and Toulouse areas related to the refurbishment of the LCD fleet of Via Location and its substitution with vehicles from Fraikin also apply to the divestiture of LCD vehicles in Valenciennes.  </w:t>
        <w:br/>
        <w:t xml:space="preserve">230. Furthermore, to achieve the objective of the commitments, namely to strengthen competition in the relevant areas regarding the rental activity of dry industrial vehicles over 15 tons, the vehicles or contracts must be operated by one or more operators significantly active in the catchment area of the Via Location agency located in Valenciennes, it being specified that this criterion will be assessed taking into account the specificities of the actual footprint of this agency, which is partially skewed by the fact that one of the clients of the target agency represents, alone, more than two-thirds of its activity.  </w:t>
        <w:br/>
        <w:t xml:space="preserve">231. Similar to the modality provided for the agency divestiture commitments, in order to overcome the difficulties that may arise from the need to obtain the client's agreement to proceed with the transfer of LLD contracts, Fraikin also commits to making its best efforts to proceed with such a divestiture, and in particular to waive the provisions of Fraikin's GTC allowing it to retain part of the services related to the vehicle rental contract, thus ensuring the completeness of the transfer.  </w:t>
        <w:br/>
        <w:t xml:space="preserve">232. Finally, in the event that part of the assets covered by the commitment are not divested, Fraikin has undertaken substitution commitments. Regarding the divestiture of the LCD fleet, the substitution commitment is identical to that undertaken concerning the Marseille and Toulouse areas (see paragraph 224). Regarding the divestiture of the LLD contracts, in the event that some of them are not divested, Fraikin commits to divesting the Valenciennes agency.  </w:t>
        <w:br/>
        <w:t xml:space="preserve">233. These various mechanisms therefore ensure the effectiveness of the remedies so that the commitments undertaken allow for the elimination of the competition concerns identified by the Authority in the Valenciennes area.  </w:t>
        <w:br/>
        <w:t>234. In light of all these elements, the Authority considers that the commitments proposed by the notifying party are sufficient to eliminate the competition infringements resulting from the operation. These commitments are accompanied, for their entire duration, by the designation of a representative intended to ensure their control. This arrangement is a guarantee of their effectiveness and credibility.</w:t>
      </w:r>
    </w:p>
    <w:p>
      <w:r>
        <w:rPr>
          <w:b/>
        </w:rPr>
        <w:t>[Pages 37–37]</w:t>
      </w:r>
    </w:p>
    <w:p>
      <w:r>
        <w:t xml:space="preserve">DECIDES  </w:t>
        <w:br/>
        <w:t xml:space="preserve">Sole Article: The operation notified under number 19-325 is authorized subject to the commitments described in paragraphs 186 to 203 above and attached to this decision.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