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https://www.autoritedelaconcurrence.fr/fr/decision-de-controle-des-concentrations/relative-la-prise-de-controle-exclusif-du-groupe-logs-par</w:t>
      </w:r>
    </w:p>
    <w:p>
      <w:r>
        <w:t>Pages translated : 2</w:t>
      </w:r>
    </w:p>
    <w:p/>
    <w:p>
      <w:r>
        <w:rPr>
          <w:b/>
        </w:rPr>
        <w:t>[Pages 1–2]</w:t>
      </w:r>
    </w:p>
    <w:p>
      <w:r>
        <w:t xml:space="preserve">FRENCH REPUBLIC  </w:t>
        <w:br/>
        <w:t xml:space="preserve">Decision No. 22-DCC-27 of March 21, 2022  </w:t>
        <w:br/>
        <w:t xml:space="preserve">regarding the exclusive control acquisition of the Log'S group by the Deret group  </w:t>
        <w:br/>
        <w:t xml:space="preserve">The Competition Authority,  </w:t>
        <w:br/>
        <w:t xml:space="preserve">Having regard to the complete notification file submitted to the mergers department on February 23, 2022, concerning the exclusive control acquisition of the Log'S group by the Deret group, formalized by the unilateral promise to purchase shares dated August 7,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companies Global Logistics Technologies, Logistics Organisation Services, and Uplog and their subsidiaries, active in the logistics services sector (collectively, the Log'S group), by Deret Opérations Services, a subsidiary of Deret SAS, the parent company of the Deret group. It constitutes a concentration operation within the meaning of Article L. 430-1 of the Commercial Code. Given the turnover achieved by the companies concerned, the operation does not fall within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22-019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