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https://www.autoritedelaconcurrence.fr/fr/decision-de-controle-des-concentrations/relative-la-prise-de-controle-exclusif-du-groupe-looping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23-DCC-93 of May 26, 2023  </w:t>
        <w:br/>
        <w:t xml:space="preserve">regarding the exclusive control acquisition of the Looping group by the company  </w:t>
        <w:br/>
        <w:t xml:space="preserve">PAI Partners  </w:t>
        <w:br/>
        <w:t xml:space="preserve">The Competition Authority,  </w:t>
        <w:br/>
        <w:t xml:space="preserve">Having regard to the complete notification file submitted to the mergers department on May 10, 2023,  </w:t>
        <w:br/>
        <w:t xml:space="preserve">concerning the acquisition of control of the Looping group by the company PAI Partners, formalized by a  </w:t>
        <w:br/>
        <w:t xml:space="preserve">letter of offer dated April 3,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Looping Cie SAS,  </w:t>
        <w:br/>
        <w:t xml:space="preserve">parent company of the Looping group, by the company PAI Partners. The Looping group is active in  </w:t>
        <w:br/>
        <w:t xml:space="preserve">the sector of operating leisure parks. The operation constitutes a concentration within the meaning  </w:t>
        <w:br/>
        <w:t xml:space="preserve">of Article L. 430-1 of the Commercial Code. Given the turnover achieved by the companies concerned,  </w:t>
        <w:br/>
        <w:t xml:space="preserve">the operation does not fall under the jurisdiction of the European Union. However, the control thresholds  </w:t>
        <w:br/>
        <w:t xml:space="preserve">mentioned in I of Article L. 430-2 of the Commercial Code are exceeded. This operation is therefore  </w:t>
        <w:br/>
        <w:t xml:space="preserve">subject to the provisions of Articles L. 430-3 and following of the Commercial Code relating to economic  </w:t>
        <w:br/>
        <w:t xml:space="preserve">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23-073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