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https://www.autoritedelaconcurrence.fr/fr/decision-de-controle-des-concentrations/relative-la-prise-de-controle-exclusif-du-groupe-lri-sodime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25-DCC-116 of May 27, 2025  </w:t>
        <w:br/>
        <w:t xml:space="preserve">regarding the exclusive control acquisition of the LRI-Sodime group by the  </w:t>
        <w:br/>
        <w:t xml:space="preserve">company Montefiore Investment  </w:t>
        <w:br/>
        <w:t xml:space="preserve">The Competition Authority,  </w:t>
        <w:br/>
        <w:t xml:space="preserve">Having regard to the complete notification file sent to the mergers department on May 12, 2025,  </w:t>
        <w:br/>
        <w:t xml:space="preserve">concerning the exclusive control acquisition by the company Montefiore Investment of the companies of the  </w:t>
        <w:br/>
        <w:t xml:space="preserve">LRI-Sodime group, formalized by the transfer protocol of April 10,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Montefiore  </w:t>
        <w:br/>
        <w:t xml:space="preserve">Investment of the companies of the LRI-Sodime group, active in the sectors of distribution of  </w:t>
        <w:br/>
        <w:t xml:space="preserve">plumbing products and technical equipment intended for fluid control, and climate engineering. The operation constitutes a concentration operation within the meaning of Article L. 430-1  </w:t>
        <w:br/>
        <w:t xml:space="preserve">of the Commercial Code. Given the turnover achieved by the companies concerned,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25-100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