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https://www.autoritedelaconcurrence.fr/fr/decision-de-controle-des-concentrations/relative-la-prise-de-controle-exclusif-du-groupe-lyxor-par</w:t>
      </w:r>
    </w:p>
    <w:p>
      <w:r>
        <w:t>Pages translated : 10</w:t>
      </w:r>
    </w:p>
    <w:p/>
    <w:p>
      <w:r>
        <w:rPr>
          <w:b/>
        </w:rPr>
        <w:t>[Pages 1–3]</w:t>
      </w:r>
    </w:p>
    <w:p>
      <w:r>
        <w:t>FRENCH REPUBLIC</w:t>
        <w:br/>
        <w:t>Decision No. 21-DCC-175 of October 1, 2021</w:t>
        <w:br/>
        <w:t>regarding the exclusive control of the Lyxor group by the company</w:t>
        <w:br/>
        <w:t>Amundi</w:t>
        <w:br/>
        <w:t>The Competition Authority,</w:t>
        <w:br/>
        <w:t>Having regard to the notification file submitted in full to the merger service on August 30, 2021,</w:t>
        <w:br/>
        <w:t>regarding the acquisition of control of the Lyxor group by the company Amundi, formalized by a framework</w:t>
        <w:br/>
        <w:t>sale contract dated June 10, 2021;</w:t>
        <w:br/>
        <w:t>Having regard to Book IV of the Commercial Code relating to price freedom and competition, and</w:t>
        <w:br/>
        <w:t>notably its Articles L. 430-1 to L. 430-7;</w:t>
        <w:br/>
        <w:t>Having regard to the additional elements provided by the notifying party during the investigation;</w:t>
        <w:br/>
        <w:t>Having regard to the other documents in the file;</w:t>
        <w:br/>
        <w:t>Adopts the following decision:</w:t>
      </w:r>
    </w:p>
    <w:p>
      <w:r>
        <w:t>I. The companies involved and the transaction</w:t>
        <w:br/>
        <w:t>1. Amundi is a specialized credit institution listed on Euronext Paris. It is active in</w:t>
        <w:br/>
        <w:t>all asset classes, particularly in active management (equities, bonds, and multi-asset solutions), in</w:t>
        <w:br/>
        <w:t>passive management (exchange-traded funds or Exchange Traded Funds, hereinafter</w:t>
        <w:br/>
        <w:t>“ETFs,” and index funds), in real assets (real estate, private debt, and private equity), as well as in</w:t>
        <w:br/>
        <w:t>money market funds and structured products. It is exclusively controlled by Crédit Agricole, which holds</w:t>
        <w:br/>
        <w:t>67.9% of its capital. Crédit Agricole is a French banking group listed on the stock exchange, primarily</w:t>
        <w:br/>
        <w:t>active in retail banking, insurance, real estate, and financial services.</w:t>
        <w:br/>
        <w:t>2. The Lyxor group is an asset manager, engaged in active management, passive management (ETFs and</w:t>
        <w:br/>
        <w:t>index funds), and alternative management. Prior to the transaction, it is exclusively owned by Société Générale.</w:t>
        <w:br/>
        <w:t>3. The notified transaction consists of Amundi acquiring 100% of the assets of the Lyxor group.</w:t>
        <w:br/>
        <w:t>As it results in the exclusive control of the Lyxor group by Amundi, the transaction constitutes a concentration</w:t>
        <w:br/>
        <w:t>within the meaning of Article L. 430-1 of the Commercial Code.</w:t>
        <w:br/>
        <w:t>4. The companies involved together generate a total worldwide turnover of over 150 million euros (Crédit Agricole group: [≥ 150 million] euros and Lyxor: [≥ 150 million] euros for the fiscal year ending December 31, 2020). Each of these companies generates in France a turnover exceeding 50 million euros (Crédit Agricole group: [≥ 50 million] euros and Lyxor: [≥ 50 million] euros for the fiscal year ending December 31, 2020). Given the turnover generated by the companies involved, the thresholds set out in Article 1, paragraph 2, a) and b) of Council Regulation (EC) No. 139/2004 of January 20, 2004, are met. However, since each of the companies involved generates more than two-thirds of its turnover in the European Union, the transaction does not fall under the jurisdiction of the European Commission (hereinafter "the Commission"). On the other hand, the control thresholds mentioned in I of Article L. 430-2 of the Commercial Code are exceeded. This transaction is therefore subject to the provisions of Articles L. 430-3 and following of the Commercial Code, relating to economic concentration.</w:t>
        <w:br/>
        <w:t>1 An index fund is a financial investment fund that attempts to replicate the performance and returns of a benchmark stock index.</w:t>
      </w:r>
    </w:p>
    <w:p>
      <w:r>
        <w:t>II. Definition of relevant markets</w:t>
        <w:br/>
        <w:t>5. The parties to the transaction are simultaneously active in the asset management markets (A).</w:t>
        <w:br/>
        <w:t>6. The acquirer also engages in the distribution of mutual funds to retail clients (B), a custody service activity (C), and a fund administration activity (D), which have vertical links with asset management activities.</w:t>
        <w:br/>
        <w:t>A. THE ASSET MANAGEMENT MARKETS</w:t>
        <w:br/>
        <w:t>1. PRODUCT MARKETS</w:t>
        <w:br/>
        <w:t>7. Asset management encompasses, in particular, the activities of managing mutual funds and portfolio management2. Thus, the Commission defines asset management as "the creation, establishment, and marketing of funds, primarily intended for retail clients on a 'standard' basis, and the provision of portfolio management services to institutional investors. Various assets are used as the basis for an investment, such as equities, bonds, real estate, or money market instruments."3</w:t>
        <w:br/>
        <w:t>8. The Commission has considered that there exists a global market for asset management in general4.</w:t>
        <w:br/>
        <w:t>9. In this case, the parties are active in this market.</w:t>
        <w:br/>
        <w:t>10. The practice has also considered segmenting this market by type of client (a), on the one hand, and between active management and passive management (b), on the other hand.</w:t>
        <w:br/>
        <w:t>a) Segmentation by type of clients</w:t>
        <w:br/>
        <w:t>11. In the asset management market, the Commission5 as well as the Authority6 have considered, while leaving the question open, a segmentation between retail clients and institutional clients (such as pension funds, banks, or insurance companies).</w:t>
        <w:br/>
        <w:t>2 C2006-45 Letter from the Minister of Economy, Finance and Industry dated August 10, 2006, to the boards of the Caisse Nationale des Caisses d’Épargne and the Banque Fédérale des Banques Populaires, regarding a concentration in the banking services sector, point 3.1.1.i).</w:t>
        <w:br/>
        <w:t>3 Commission decision in case COMP/M.8359 – Amundi / Credit Agricole / Pioneer Investments, para. 16.</w:t>
        <w:br/>
        <w:t>4 Commission decision COMP/M.9796 – Uniqa / Axa (Insurance, Asset Management And Pensions - Czechia, Poland And Slovakia), para. 36; Commission decision in case COMP/M.8359 – Amundi / Credit Agricole / Pioneer Investments, para. 17; and Commission decision in case COMP/M.6812 – SFPI / Dexia, para. 31.</w:t>
        <w:br/>
        <w:t>5 COMP/M.9810, Natixis Investment Managers/La Banque Postale/JV, para. 13, Case COMP/M/9796, Uniqa / Axa, para. 36; Case COMP/M.8837, Blackstone / Thomson Reuter F&amp;R Business, para. 35, Case COMP/M.8359, Amundi / Crédit Agricole /Pioneer Investments, paras. 17-27; Case COMP/M.7877, Warburg Pincus / General Atlantic / UniCredit / Santander / SAM / Pioneer, paras. 17-28; Case COMP/M.6812, SFPI / Dexia, paras. 31 and 33; Case COMP/M.5728, Crédit Agricole / Société Générale Asset Management, paras. 30-32; Case COMP/M.5580, Blackrock / Barclays GIH, paras 33-35; Case COMP/M.3894, UniCredito / HVB, decision of October 18, 2005, paras. 35-36; Case COMP/M.5384, BNP Paribas / Fortis, decision of December 3, 2008, para. 59; Case COMP/M.4844, Fortis / ABN Amro Assets, paras. 67-70; Case COMP/M.5580, Blackrock / Barclays GIH, paras. 8-13. European Commission decision in case COMP/M.2131, BCP/Interamericain/Novabank, of September 15, 2000.</w:t>
        <w:br/>
        <w:t>6 C2006-45/ Letter from the Minister of Economy, Finance and Industry dated August 10, 2006, to the boards of the Caisse Nationale des Caisses d’Épargne and the Banque Fédérale des Banques Populaires, regarding a concentration in the banking services sector, page 3 et seq. See also decision No. 16-DCC-151 of October 14, 2016, regarding the merger of Rothschild &amp; Co SCA and Compagnie Financière Martin Maurel SA, para. 13; decision No. 15-DCC-105 of August 12, 2015, regarding the joint acquisition of Primonial Holding by Crédit Mutuel Arkéa, Primonial Management, Blackfin, and Latour Capital, para. 25; Decision No. 15-DCC-73 of June 22, 2015, regarding the exclusive control of the DNCA group by Natixis Global Asset Management, para. 10.</w:t>
      </w:r>
    </w:p>
    <w:p>
      <w:r>
        <w:rPr>
          <w:b/>
        </w:rPr>
        <w:t>[Pages 4–6]</w:t>
      </w:r>
    </w:p>
    <w:p>
      <w:r>
        <w:t>12. Regarding asset management for retail clients, the Commission considered a sub-segmentation between open-ended and closed-ended retail funds. Indeed, it indicates that closed-ended funds are "funds tailored for a small group of investors and are not distributed through retail channels. These funds are not open to the subscription of new capital by persons unknown to the registered shareholders. Conversely, open-ended funds have no restrictions on the number of investors."</w:t>
      </w:r>
    </w:p>
    <w:p>
      <w:r>
        <w:t>13. Regarding asset management on behalf of institutional clients, the Authority considered a sub-segmentation between:</w:t>
        <w:br/>
        <w:t>(i) portfolio management (excluding real estate assets and excluding UCITS), which consists of optimizing the financial return of a portfolio of securities (equities and/or bonds) held by a client;</w:t>
        <w:br/>
        <w:t>(ii) management of mutual funds of the UCITS type (which are divided into SICAV and FCP), which consists of managing this type of collective investment fund on behalf of companies and institutions;</w:t>
        <w:br/>
        <w:t>(iii) private equity, which consists of an investor entering the capital of non-listed companies that require an injection of equity.</w:t>
      </w:r>
    </w:p>
    <w:p>
      <w:r>
        <w:t>14. Each of the parties holds an asset management activity for retail clients, on the one hand, and for institutional clients, on the other.</w:t>
      </w:r>
    </w:p>
    <w:p>
      <w:r>
        <w:t>b) Segmentation between active management and passive management</w:t>
      </w:r>
    </w:p>
    <w:p>
      <w:r>
        <w:t>15. As for the distinction between active and passive asset management activities, the Commission indicates that "active asset management consists of strategies in which the investment manager makes specific investments with the aim of outperforming a benchmark (for example, an index), while passive management consists of strategies that simply seek to replicate the performance of an index (for example, ETFs)."</w:t>
      </w:r>
    </w:p>
    <w:p>
      <w:r>
        <w:t>16. The parties engage in both active and passive asset management activities.</w:t>
      </w:r>
    </w:p>
    <w:p>
      <w:r>
        <w:t>17. In this case, the question of the precise delineation of asset management markets can be left open, as the conclusions of the competitive analysis remain unchanged regardless of the hypothesis considered.</w:t>
      </w:r>
    </w:p>
    <w:p>
      <w:r>
        <w:t>2. GEOGRAPHIC MARKETS</w:t>
      </w:r>
    </w:p>
    <w:p>
      <w:r>
        <w:t>18. The competition authorities have considered that for the overall asset management market, as well as for the segmentations related to the type of clients on the one hand, and to active and passive management on the other hand, the geographic dimension could be at least national.</w:t>
      </w:r>
    </w:p>
    <w:p>
      <w:r>
        <w:t>19. In this case, the question of the geographic dimension can be left open, as the conclusions of the competitive analysis remain unchanged, regardless of the hypothesis retained.</w:t>
      </w:r>
    </w:p>
    <w:p>
      <w:r>
        <w:t>20. The competitive analysis was conducted at the national level, in the most conservative manner.</w:t>
      </w:r>
    </w:p>
    <w:p>
      <w:r>
        <w:t>B. THE DISTRIBUTION OF MUTUAL FUNDS TO RETAIL CLIENTS</w:t>
      </w:r>
    </w:p>
    <w:p>
      <w:r>
        <w:t>1. PRODUCT MARKET</w:t>
      </w:r>
    </w:p>
    <w:p>
      <w:r>
        <w:t>21. The national and European competition authorities have had the opportunity to examine the retail banking markets.</w:t>
      </w:r>
    </w:p>
    <w:p>
      <w:r>
        <w:t>22. Thus, retail banking encompasses banking services aimed at individuals and households as well as individual entrepreneurs.</w:t>
      </w:r>
    </w:p>
    <w:p>
      <w:r>
        <w:t>23. For this entire clientele, the following markets were analyzed by the Authority: the market for sight deposits, the market for banking savings (notably savings bonds and accounts that cannot be immediately mobilized such as term accounts), the market for off-balance sheet savings (variable capital investment companies (SICAV), mutual funds (FCP), and pension funds), the mortgage credit market, the consumer credit market, the debt restructuring credit market, the payment card issuance market (issuance for clients), the private banking market, and the securities custody market ("retail custody").</w:t>
      </w:r>
    </w:p>
    <w:p>
      <w:r>
        <w:t>24. The Commission also considered segmenting the retail banking market between deposits, loans, mortgages, payment operations, credit card issuance, deposit accounts, and the distribution of mutual funds. It also considered the possibility of distinguishing between mutual funds sold through the general retail network and those distributed via private banking channels.</w:t>
      </w:r>
    </w:p>
    <w:p>
      <w:r>
        <w:t>25. In any event, the question of the exact segmentation of these markets can be left open, as the conclusions of the competitive analysis remain unchanged regardless of the dimension considered.</w:t>
      </w:r>
    </w:p>
    <w:p>
      <w:r>
        <w:t>26. In this case, the acquirer acts as a provider of banking services to retail clients and as a distributor of mutual funds to its clients.</w:t>
      </w:r>
    </w:p>
    <w:p>
      <w:r>
        <w:t>2. GEOGRAPHIC MARKET</w:t>
      </w:r>
    </w:p>
    <w:p>
      <w:r>
        <w:t>27. Regarding the geographic dimension of retail banking markets, the Commission has considered that the markets could be national in scope, including for the distribution of mutual funds.</w:t>
      </w:r>
    </w:p>
    <w:p>
      <w:r>
        <w:t>28. The Authority has considered that the geographic dimension was at most national, and conducted its analysis, in previous decisions, at both the national and local levels.</w:t>
      </w:r>
    </w:p>
    <w:p>
      <w:r>
        <w:t>29. In this case, the competitive analysis will be conducted solely at the national level, as the market for the distribution of mutual funds is only concerned in terms of its vertical links with the asset management markets, which are at least of national dimension.</w:t>
      </w:r>
    </w:p>
    <w:p>
      <w:r>
        <w:t>C. SECURITIES CUSTODY SERVICES</w:t>
      </w:r>
    </w:p>
    <w:p>
      <w:r>
        <w:t>1. PRODUCT MARKET</w:t>
      </w:r>
    </w:p>
    <w:p>
      <w:r>
        <w:t>30. According to the Authority, "global custody is a service offered by certain banks to other market investors, which consists of managing on behalf of these investors all operations related to their portfolios, which follow the actual trading of securities (order transmission, settlement delivery, coupon payments, securities operations, redemptions). To do this, the global custodian is in relation with a network of local sub-custodians, which give it access to the markets where its clients trade, and to the central custodian of the country where it resides."</w:t>
      </w:r>
    </w:p>
    <w:p>
      <w:r>
        <w:t>31. The Commission has determined that these services fall within the same product market without the need to distinguish between the different types of services.</w:t>
      </w:r>
    </w:p>
    <w:p>
      <w:r>
        <w:t>32. The Authority's practice, on the other hand, distinguishes between securities custody for institutional clients on the one hand, and custody for retail clients on the other.</w:t>
      </w:r>
    </w:p>
    <w:p>
      <w:r>
        <w:rPr>
          <w:b/>
        </w:rPr>
        <w:t>[Pages 7–9]</w:t>
      </w:r>
    </w:p>
    <w:p>
      <w:r>
        <w:t xml:space="preserve">33. In this case, the exact delimitation of this market can be left open, as the conclusions of the competitive analysis remain unchanged regardless of the assumption made.  </w:t>
        <w:br/>
        <w:t xml:space="preserve">34. The acquirer, through its subsidiary CACEIS, provides securities custody services.  </w:t>
        <w:br/>
        <w:t xml:space="preserve">2. GEOGRAPHIC MARKET  </w:t>
        <w:br/>
        <w:t xml:space="preserve">35. The Commission has left the exact definition of the geographic market open.  </w:t>
        <w:br/>
        <w:t xml:space="preserve">36. In its decision Crédit Agricole / Caisse d’Épargne, it has, however, while considering that the market for custody services could be regarded as global or at least at the EEA level, also assessed the impact of the transaction at the national level.  </w:t>
        <w:br/>
        <w:t xml:space="preserve">37. In this case, the competitive analysis was conducted at the national level, in the most conservative manner.  </w:t>
        <w:br/>
        <w:t xml:space="preserve">D. FUND ADMINISTRATION SERVICES  </w:t>
        <w:br/>
        <w:t xml:space="preserve">1. PRODUCT MARKET  </w:t>
        <w:br/>
        <w:t xml:space="preserve">38. According to the Authority, “[b]anking institutions can also provide fund administration services. This may involve, for example, administering or being the custodian of funds held by mutual funds (FCP), but also maintaining their accounting, assessing their net asset value, recording on their behalf the movements of purchases or sales of shares, keeping track of their transactions, providing them with tax advice, serving as a transfer agent, maintaining their records, providing them with legal or secretarial services. Other value-added services may also be offered, such as the middle or back office of fund managers, coupon payments, financial performance measurement, and risk analysis. Largely, these are services that were previously self-consumed by fund managers and have been outsourced.”  </w:t>
        <w:br/>
        <w:t xml:space="preserve">39. The Commission considered that this activity constituted a unique product market.  </w:t>
        <w:br/>
        <w:t xml:space="preserve">40. In this case, the exact delimitation of this market can be left open, as the conclusions of the competitive analysis remain unchanged regardless of the assumption made.  </w:t>
        <w:br/>
        <w:t xml:space="preserve">41. In this case, the acquirer, through its subsidiary CACEIS, provides fund administration services.  </w:t>
        <w:br/>
        <w:t xml:space="preserve">25 COMP/M.8257 NN Group / Delta Lloyd, para 115; Aff. COMP/M.8359 - Amundi / Crédit Agricole / Pioneer Investment, para 35; Aff. COMP/M.5728, Crédit Agricole / Société Générale Asset Management, para. 122.  </w:t>
        <w:br/>
        <w:t xml:space="preserve">26 COMP/M.3787 – Crédit Agricole / Caisse d’Épargne / JV, para 17.  </w:t>
        <w:br/>
        <w:t xml:space="preserve">27 Ibid, para 20.  </w:t>
        <w:br/>
        <w:t xml:space="preserve">28 C2006-45/ Letter from the Minister of Economy, Finance and Industry dated August 10, 2006, to the councils of the Caisse Nationale des Caisses d’Épargne and the Banque Fédérale des Banques Populaires, regarding a concentration in the banking services sector, point 3.1.2.xii.  </w:t>
        <w:br/>
        <w:t xml:space="preserve">29 COMP/M.9810 – Natixis Investment Managers / La Banque Postale / JV, para 21; aff. COMP/M.8359 Amundi / Crédit Agricole / Pioneer Investments, para 39; aff. COMP/M.5728, Crédit Agricole / Société Générale Asset Management, para. 14-16; See also aff. COMP/M.3781, Crédit Agricole / Caisse d'Epargne / JV, para. 21.  </w:t>
        <w:br/>
        <w:t xml:space="preserve">2. GEOGRAPHIC MARKET  </w:t>
        <w:br/>
        <w:t xml:space="preserve">42. The Commission has left the exact dimension of the fund administration services market open.  </w:t>
        <w:br/>
        <w:t xml:space="preserve">43. In any event, the question of the geographic dimension of this market can be left open, as the conclusions of the competitive analysis remain unchanged regardless of the dimension considered.  </w:t>
        <w:br/>
        <w:t xml:space="preserve">44. In this case, the competitive analysis was conducted at the national level, in the most conservative manner.  </w:t>
        <w:br/>
        <w:t xml:space="preserve">III. Competitive Analysis  </w:t>
        <w:br/>
        <w:t xml:space="preserve">A. HORIZONTAL EFFECTS ANALYSIS  </w:t>
        <w:br/>
        <w:t xml:space="preserve">45. The combined market share of the acquirer and the target will not exceed 25% in the asset management market and its conceivable segmentations, except for passive management activities.  </w:t>
        <w:br/>
        <w:t xml:space="preserve">46. Regarding passive management for all types of clients combined, the market share of the new entity at the national level will amount to [20-30]% with an addition of market shares of [5-10] points. More specifically, regarding passive management for institutional clients at the national level, the new market share will rise to [20-30]% with an addition of market shares of [5-10] points.  </w:t>
        <w:br/>
        <w:t xml:space="preserve">47. However, the new entity will still face competitive pressure from significant players, such as Natixis / Ostrum, AXA, or BNP Paribas.  </w:t>
        <w:br/>
        <w:t xml:space="preserve">48. It follows from the above that the transaction is not likely to harm competition, through horizontal effects, in the asset management market as well as in all its conceivable segmentations.  </w:t>
        <w:br/>
        <w:t xml:space="preserve">B. VERTICAL EFFECTS ANALYSIS  </w:t>
        <w:br/>
        <w:t xml:space="preserve">49.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50. The decision-making practice generally considers that a risk of harming competition through vertical effects can be ruled out, provided that the market shares of the company resulting from the transaction in the relevant markets do not exceed 30%.  </w:t>
        <w:br/>
        <w:t xml:space="preserve">30 COMP/M.9810 – Natixis Investment Managers / La Banque Postale / JV, para 38; Aff. COMP/M.8359 Amundi / Crédit Agricole / Pioneer Investments, para 39; aff. COMP/M.5728, Crédit Agricole / Société Générale Asset Management, para. 124.  </w:t>
        <w:br/>
        <w:t xml:space="preserve">31 See, in this sense, paragraph 678 of the guidelines.  </w:t>
        <w:br/>
        <w:t xml:space="preserve">51. The acquirer, Crédit Agricole, is active downstream of the activities of Amundi and Lyxor as a provider of banking services to retail clients and as a distributor of mutual funds to its clients. However, Crédit Agricole holds a market share of [5-10]% in the mutual fund distribution market in France, on the one hand, and the new entity holds market shares below 30% in the asset management market and its various conceivable segmentations, on the other hand, any risk of harming competition through vertical effects between this market and those of asset management can be ruled out.  </w:t>
        <w:br/>
        <w:t xml:space="preserve">52. Furthermore, the transaction creates a vertical link between the acquirer's activities in custody and fund administration services, both of which are upstream of the asset management market in which the parties are active.  </w:t>
        <w:br/>
        <w:t xml:space="preserve">53. The acquirer holds a market share exceeding 30% in these two activities. Indeed, in the market for securities custody services, the acquirer holds, in France, a market share of [30-40]%, while in the market for fund administration, the acquirer holds, in France, a market share of [40-50]%.  </w:t>
        <w:br/>
        <w:t xml:space="preserve">54. However, any risk of harming competition through vertical effects between these markets can be ruled out.  </w:t>
        <w:br/>
        <w:t xml:space="preserve">55. First, given the limited market shares of the new entity in the asset management market and its potential segmentations and the presence of competing operators, such as Natixis / Ostrum, AXA, BNP Paribas, Aviva, and La Poste, in this market, any risk of locking access to clients for operators providing securities custody and fund administration services can be ruled out.  </w:t>
        <w:br/>
        <w:t xml:space="preserve">56. Second, the new entity will also not have the capacity to lock access to securities custody and fund administration services, as asset managers will have the option to turn to significant competing operators of Crédit Agricole, such as BNP Paribas Securities Services, Société Générale Securities Services, and Clearstream for securities custody and BNP Paribas Securities Services, Société Générale Securities Services, Dexia Fund Services, State Street, and Alter Domus for fund administration. Moreover, given the limited market shares of the target in asset management, Crédit Agricole's incentives to restrict asset managers' access to its custody and fund administration services would be limited.  </w:t>
        <w:br/>
        <w:t>57. In light of the above, the transaction is not likely to harm competition through vertical effects.</w:t>
      </w:r>
    </w:p>
    <w:p>
      <w:r>
        <w:rPr>
          <w:b/>
        </w:rPr>
        <w:t>[Pages 10–10]</w:t>
      </w:r>
    </w:p>
    <w:p>
      <w:r>
        <w:t xml:space="preserve">DECIDES  </w:t>
        <w:br/>
        <w:t xml:space="preserve">Sole Article: The operation notified under number 21-114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