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https://www.autoritedelaconcurrence.fr/fr/decision-de-controle-des-concentrations/relative-la-prise-de-controle-exclusif-du-groupe-mafart-par</w:t>
      </w:r>
    </w:p>
    <w:p>
      <w:r>
        <w:t>Pages translated : 4</w:t>
      </w:r>
    </w:p>
    <w:p/>
    <w:p>
      <w:r>
        <w:rPr>
          <w:b/>
        </w:rPr>
        <w:t>[Pages 1–3]</w:t>
      </w:r>
    </w:p>
    <w:p>
      <w:r>
        <w:t xml:space="preserve">FRENCH REPUBLIC  </w:t>
        <w:br/>
        <w:t xml:space="preserve">Decision No. 10-DCC-03 of January 12, 2010  </w:t>
        <w:br/>
        <w:t xml:space="preserve">regarding the exclusive control of the MAFART group by the  </w:t>
        <w:br/>
        <w:t xml:space="preserve">company ANCS (ACCUEIL group)  </w:t>
        <w:br/>
        <w:t xml:space="preserve">The Competition Authority,  </w:t>
        <w:br/>
        <w:t xml:space="preserve">Having regard to the notification file submitted in full to the Concentrations Department of the Competition Authority on December 4, 2009, regarding the exclusive control of the MAFART group by the company ANCS – Accueil Négoce Chauffage Sanitaire (ACCUEIL group);  </w:t>
        <w:br/>
        <w:t xml:space="preserve">Having regard to the transfer agreement duly signed on November 23, 2009;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The company ANCS - Accueil Négoce Chauffage Sanitaire (hereinafter "ANCS") is a simplified joint-stock company, active through several brands and about fifty agencies as a wholesaler in heating (boilers, radiators, piping and fittings), air conditioning, sanitary (bathtubs, sinks and accessories) and plumbing fixtures (valves and industrial taps, bathroom taps…). ANCS is a 100% subsidiary of Accueil Négoce SAS, which is itself 99.9% owned by SCCI, the parent company of the ACCUEIL group. Beyond the activities of ANCS, the ACCUEIL group is active in real estate promotion, timber trading, agronomy, and agri-food. The ACCUEIL group is 60.17% owned by the Rohault de Fleury family and 39.83% by the Labbe family. In 2008, the group achieved a total turnover excluding taxes of 399 million euros, almost exclusively in France.  </w:t>
        <w:br/>
        <w:t>2. SAS SOFINFOR is the holding company of the MAFART group, which consists of about fifteen companies, holding 14 establishments in Brittany and the Pays de la Loire. The MAFART group is active in the wholesale trade of finishing work (heating, sanitary, Velux windows, general building, and personal protective equipment, plumbing/tools). In 2008, the MAFART group achieved a total turnover excluding taxes of 67.5 million euros, exclusively in France.</w:t>
      </w:r>
    </w:p>
    <w:p>
      <w:r>
        <w:t xml:space="preserve">3. The proposed transaction consists of the acquisition, under various suspensive conditions, of all the social rights of SAS SOFINFOR, which holds all the shares of the different companies comprising the MAFART group.  </w:t>
        <w:br/>
        <w:t xml:space="preserve">4. As it results in the exclusive control of the MAFART group by the company ANCS, the notified transaction constitutes a concentration operation within the meaning of Article L. 430-1 of the Commercial Code. Given the turnover of the companies concerned, it does not have a Community dimension. However, the thresholds provided for in Article L. 430-2-I of the Commercial Code are exceeded. Therefore, the present transaction is subject to the provisions of Articles L.430-3 and following of the Commercial Code relating to economic concentration.  </w:t>
        <w:br/>
        <w:t xml:space="preserve">II. Delimitation of relevant markets  </w:t>
        <w:br/>
        <w:t xml:space="preserve">A. DELIMITATION OF MARKETS IN TERMS OF PRODUCTS AND SERVICES  </w:t>
        <w:br/>
        <w:t xml:space="preserve">5. The parties to the present transaction are simultaneously active in the construction materials distribution sector. In this sector, the parties are present both upstream as buyers of materials from manufacturers, and downstream in the construction materials trading market.  </w:t>
        <w:br/>
        <w:t xml:space="preserve">1. UPSTREAM MARKETS FOR THE SUPPLY OF CONSTRUCTION MATERIALS  </w:t>
        <w:br/>
        <w:t xml:space="preserve">6. As recalled by the Competition Authority in a recent decision, regarding the supply of construction materials, the decision-making practice distinguishes as many markets as there are families of products. The structure of supply, pricing dynamics, or manufacturing constraints can indeed vary significantly from one product family to another.  </w:t>
        <w:br/>
        <w:t xml:space="preserve">7. In the case at hand, the parties source materials in the following product categories: heating, sanitary, plumbing, roofing, plumbing fixtures, air conditioning, tools, electricity, ventilation, water supply, and sanitation.  </w:t>
        <w:br/>
        <w:t xml:space="preserve">8. However, it is not necessary to precisely segment these different markets as, regardless of the delimitation of the product families retained, the conclusions of the competitive analysis will remain unchanged.  </w:t>
        <w:br/>
        <w:t xml:space="preserve">2. DOWNSTREAM MARKETS FOR THE TRADING OF CONSTRUCTION MATERIALS  </w:t>
        <w:br/>
        <w:t xml:space="preserve">9. The European Commission defines the trading of construction materials as "a traditional activity whereby traders sell from stock all the materials necessary for companies in the construction sector." The materials thus marketed are primarily intended for professionals. While some individuals occasionally approach such traders, they are generally "heavy DIYers" whose expectations are similar to those of businesses. In the case at hand, the parties have a clientele primarily composed of professionals, such as plumbers or plumber-heating engineers.  </w:t>
        <w:br/>
        <w:t xml:space="preserve">10. It is also necessary to refine the market delineation according to the depth of the range of materials distributed. "Generalist" traders, who offer a wide but shallow range of products, can indeed be distinguished from "specialist" traders, whose offerings focus on a family of products for which the degree of expertise is more advanced. National practice has thus highlighted that, although they may be geographically close, generalist and specialist sales outlets are very imperfect substitutes.  </w:t>
        <w:br/>
        <w:t xml:space="preserve">11. In the case at hand, the parties specialize in certain product families. Their activities particularly overlap in heating, sanitary, and plumbing products, which represent 58% of MAFART's turnover and 72% of ANCS's turnover. The parties are also present in certain related product families, with reduced overlaps in activity, such as plumbing fixtures, air conditioning, tools, electrical products, ventilation, water supply, and sanitation.  </w:t>
        <w:br/>
        <w:t xml:space="preserve">12. In the case at hand, the effects of the operation will be assessed in the market for specialized traders in sanitary, heating, plumbing, and various supplies.  </w:t>
        <w:br/>
        <w:t xml:space="preserve">B. GEOGRAPHICAL DELIMITATION OF MARKETS  </w:t>
        <w:br/>
        <w:t xml:space="preserve">1. UPSTREAM SUPPLY MARKETS  </w:t>
        <w:br/>
        <w:t xml:space="preserve">13. Regarding the markets for the supply of construction materials, decision-making practice retains, at a minimum, a national dimension. The European Commission has thus emphasized that, in such markets, competition among the main suppliers, whether concerning marketing strategy, commercial policy, or the location of sales outlets, operates at the national level.  </w:t>
        <w:br/>
        <w:t xml:space="preserve">14. There is no reason to challenge this delimitation in the present decision.  </w:t>
        <w:br/>
        <w:t xml:space="preserve">2. DOWNSTREAM MARKETS FOR THE TRADING OF CONSTRUCTION MATERIALS  </w:t>
        <w:br/>
        <w:t xml:space="preserve">15. Decision-making practice, both Community and national, considers that the market for the trading of materials is of local dimension, as professionals in the construction sector primarily make their purchases close to their area of intervention.  </w:t>
        <w:br/>
        <w:t>16. Previous decisions have established that the distances traveled by consumers of construction materials vary depending on the degree of specialization of the sales outlet concerned. Regarding specialist traders, the defined catchment areas extend over a radius of approximately 50 to 75 kilometers around the sales outlet.</w:t>
      </w:r>
    </w:p>
    <w:p>
      <w:r>
        <w:rPr>
          <w:b/>
        </w:rPr>
        <w:t>[Pages 4–4]</w:t>
      </w:r>
    </w:p>
    <w:p>
      <w:r>
        <w:t>17. The activities of the parties only significantly overlap in the department of Loire-Atlantique, with MAFART operating in Brittany and the Nantes region, while ANCS covers the Atlantic coast primarily south of the Loire.</w:t>
      </w:r>
    </w:p>
    <w:p>
      <w:r>
        <w:t>18. In this case, the competitive analysis will be conducted solely in the department of Loire-Atlantique, the only department where the catchment areas of both parties significantly overlap.</w:t>
      </w:r>
    </w:p>
    <w:p>
      <w:r>
        <w:t xml:space="preserve">III. Competitive Analysis  </w:t>
        <w:br/>
        <w:t xml:space="preserve">A. DOWNSTREAM MARKETS FOR BUILDING MATERIALS TRADE  </w:t>
        <w:br/>
        <w:t>19. In the segment of specialized traders in sanitary, heating, plumbing, and various supplies, according to the parties' estimates, the market share of the MAFART group in the department of Loire-Atlantique is 0.73%, while that of ANCS is 1.49%, resulting in a combined market share of 2.2%.</w:t>
      </w:r>
    </w:p>
    <w:p>
      <w:r>
        <w:t>20. It should be noted that in this market, there are numerous competitors, including both international and national brands such as Leroy-Merlin, Brossette, Comafranc, as well as more local operators such as Orcab, Bricodeal, Martin Belaysoud.</w:t>
      </w:r>
    </w:p>
    <w:p>
      <w:r>
        <w:t xml:space="preserve">B. UPSTREAM SUPPLY MARKETS  </w:t>
        <w:br/>
        <w:t>21. Nationwide, ANCS and the MAFART group have 1,194 and 724 suppliers respectively, but only 25 of them are common to both companies. Furthermore, these suppliers never account for more than 5% of their turnover with the parties.</w:t>
      </w:r>
    </w:p>
    <w:p>
      <w:r>
        <w:t>***</w:t>
      </w:r>
    </w:p>
    <w:p>
      <w:r>
        <w:t>22. In light of the above elements, it appears that the proposed transaction is not likely to harm competition in the relevant markets.</w:t>
      </w:r>
    </w:p>
    <w:p>
      <w:r>
        <w:t xml:space="preserve">DECIDES  </w:t>
        <w:br/>
        <w:t xml:space="preserve">Single Article: The transaction notified under number 09-0120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