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https://www.autoritedelaconcurrence.fr/fr/decision-de-controle-des-concentrations/relative-la-prise-de-controle-exclusif-du-groupe-malherbe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26-DCC-63 of March 12, 2026  </w:t>
        <w:br/>
        <w:t xml:space="preserve">regarding the exclusive control acquisition of the Malherbe group  </w:t>
        <w:br/>
        <w:t xml:space="preserve">by the SNCF group  </w:t>
        <w:br/>
        <w:t>The Competition Authority,</w:t>
      </w:r>
    </w:p>
    <w:p>
      <w:r>
        <w:t>Having regard to the complete notification file submitted to the mergers department on February 24, 2026, concerning the exclusive control acquisition of Cathylain Participations and its subsidiaries by Géodis, a subsidiary of SNCF Participations, formalized by the purchase promise dated December 18, 2025;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 xml:space="preserve">Adopts the following decision:  </w:t>
        <w:br/>
        <w:t xml:space="preserve">1. The notified operation consists of the acquisition of all shares and voting rights of Cathylain Participations and its subsidiaries, constituting the Malherbe group, by the company Géodis, a subsidiary of the SNCF group. The parties are notably active in the sector of road freight transport and logistics services. The operation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26-023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