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https://www.autoritedelaconcurrence.fr/fr/decision-de-controle-des-concentrations/relative-la-prise-de-controle-exclusif-du-groupe-mallet-par</w:t>
      </w:r>
    </w:p>
    <w:p>
      <w:r>
        <w:t>Pages translated : 5</w:t>
      </w:r>
    </w:p>
    <w:p/>
    <w:p>
      <w:r>
        <w:rPr>
          <w:b/>
        </w:rPr>
        <w:t>[Pages 1–3]</w:t>
      </w:r>
    </w:p>
    <w:p>
      <w:r>
        <w:t>FRENCH REPUBLIC</w:t>
        <w:br/>
        <w:t>Decision No. 11-DCC-198 of December 20, 2011</w:t>
        <w:br/>
        <w:t>regarding the exclusive control of the Mallet group by</w:t>
        <w:br/>
        <w:t>Pro-à-Pro Distribution SA</w:t>
        <w:br/>
        <w:t>The Competition Authority,</w:t>
        <w:br/>
        <w:t>Having regard to the notification file submitted to the merger service on June 10, 2011, and declared complete on November 30, 2011, concerning the exclusive control of the Mallet group by Pro-à-Pro Distribution SA, formalized by a contract for the purchase and sale of the Mallet group dated June 18, 2004;</w:t>
        <w:br/>
        <w:t>Having regard to Book IV of the Commercial Code relating to the freedom of prices and competition, and in particular Articles L. 430-1 to L. 430-7;</w:t>
        <w:br/>
        <w:t>Having regard to the supplementary elements transmitted by the parties during the investigation;</w:t>
        <w:br/>
        <w:t>Adopts the following decision:</w:t>
        <w:br/>
        <w:t>I. The companies concerned and the operation</w:t>
        <w:br/>
        <w:t>1. Ets Fr. Colruyt SA is a Belgian company, head of the Colruyt group, which operates in the retail trade predominantly in food and wholesale trade. The group is present in France through its 100% subsidiary Pro-A-Pro Distribution SA. This company operates, through the Ripotot group which it controls, supermarkets in the North-East quarter of France and ensures the wholesale sale of food products to affiliated independent food stores. Finally, the group is active as a wholesaler to the out-of-home catering sector (hereinafter "RHF") and operates "cash and carry" stores in the large North-East quarter of France.</w:t>
        <w:br/>
        <w:t>2. The Mallet group consists of two holding companies (Mallet SA and MPC SA) and several operational companies (mainly Disval SA and Silor SA) engaged in the wholesale trade of fresh, dry, and frozen food products, primarily aimed at food-dominant convenience stores located in the Centre, Pays de Loire, Ile-de-France, and Haute-Normandie regions. The Mallet group also engages in retail trade through its two subsidiaries Quapri SARL and RDM SARL.</w:t>
      </w:r>
    </w:p>
    <w:p>
      <w:r>
        <w:t>3. In accordance with a contract for the purchase and sale of the Mallet group signed on June 18, 2004, Pro-à-Pro Distribution acquired 100% of the shares and voting rights of the various companies constituting the Mallet group.</w:t>
        <w:br/>
        <w:t>4. As it results in the exclusive control by Pro-à-Pro Distribution of the Mallet group, the notified operation constitutes a concentration within the meaning of Article L. 430-1 of the Commercial Code. As of the date of completion of the operation, the companies concerned together achieved a total worldwide turnover of more than 150 million euros (Colruyt group: 3.8 billion euros for the fiscal year ending March 31, 2004; Mallet group: [...] million euros for the fiscal year ending December 31, 2003). Each achieved a turnover in France of more than 50 million euros (Colruyt group: 312 million euros for the fiscal year ending March 31, 2004; Mallet group: [...] million euros for the fiscal year ending December 31, 2004). Given these turnover figures, the operation did not have a community dimension. However, the control thresholds mentioned in point I of Article L. 430-2 of the Commercial Code in force at the date of the operation were exceeded. This operation is therefore subject to the provisions of Articles L. 430-3 and following of the Commercial Code relating to economic concentration.</w:t>
        <w:br/>
        <w:t>II. Delimitation of relevant markets</w:t>
        <w:br/>
        <w:t>A. THE MARKETS FOR PRODUCTS AND SERVICES</w:t>
        <w:br/>
        <w:t>5. The operation leads to overlaps in activity in the wholesale distribution sector of food products aimed at convenience stores as well as small food-dominant surfaces. The parties are also simultaneously present as buyers in the upstream markets for the supply of food products.</w:t>
        <w:br/>
        <w:t>6. Finally, the parties operate small retail businesses, but in the absence of geographical overlap, it is not necessary to define the markets in question more precisely.</w:t>
        <w:br/>
        <w:t>1. THE UPSTREAM MARKETS FOR THE SUPPLY OF FOOD PRODUCTS</w:t>
        <w:br/>
        <w:t>7. Regarding the "upstream" supply markets, the decision-making practice of competition authorities does not distinguish between the sale of everyday consumer goods by producers to wholesalers and those made to other customers such as retailers or the RHF. On the other hand, it delineates as many relevant markets as there are product groups. In this case, the parties to the operation are simultaneously active in this market as buyers of frozen products and ice creams, grocery and confectionery products, as well as fresh products.</w:t>
        <w:br/>
        <w:t>1 Decision of the Commission M. 2115 Carrefour/GB of September 28, 2000.</w:t>
      </w:r>
    </w:p>
    <w:p>
      <w:r>
        <w:t>8. With regard to fresh food products, the following are distinguished: dairy products, deli meats and catering products, seafood, fruits and vegetables, and meat products. In this case, both parties purchase dairy products, fruits and vegetables, as well as meat products.</w:t>
        <w:br/>
        <w:t>2. THE DOWNSTREAM MARKETS FOR WHOLESALE DISTRIBUTION OF FOOD PRODUCTS</w:t>
        <w:br/>
        <w:t>9. Downstream, concerning the wholesale distribution of food products, national and community decision-making practice has repeatedly recognized the existence of distinct markets by distribution channel: firstly, large-scale distribution and food-dominant stores, secondly, the RHF, and finally the agri-food industry. In this case, the parties concerned are simultaneously active in the sector of food product distribution to food-dominant stores. More specifically, the parties supply convenience stores and independent small food surfaces.</w:t>
        <w:br/>
        <w:t>10. Regarding segmentation by product types, four main families can be distinguished within the wholesale trade of food products: (i) fresh products, (ii) beverages, (iii) frozen products and ice creams, (iv) grocery products and confectionery (hereinafter "dry products"). The demand from food-dominant stores generally encompasses all of these products, and wholesalers can offer a wide assortment of products. Nevertheless, many of them concentrate their activity on one of these families. Regarding fresh products, a distinction has been considered between fruits and vegetables, dairy products, and meat products.</w:t>
        <w:br/>
        <w:t>11. In this case, the operation leads to an overlap of activity in the wholesale distribution of frozen products and ice creams, grocery products, fruits and vegetables, dairy products, and fresh meat products to food-dominant convenience stores.</w:t>
        <w:br/>
        <w:t>12. Finally, the Authority considered it appropriate to distinguish cash and carry warehouses from traditional wholesale trade given the differences observed on both the demand and supply sides. The competitive analysis will therefore be conducted solely on the segment of traditional wholesale trade on which the operation leads to an overlap of activity.</w:t>
        <w:br/>
        <w:t>13. In this case, however, the question of the precise delimitation of these markets can be left open, as the conclusions of the analysis remain unchanged.</w:t>
      </w:r>
    </w:p>
    <w:p>
      <w:r>
        <w:rPr>
          <w:b/>
        </w:rPr>
        <w:t>[Pages 4–5]</w:t>
      </w:r>
    </w:p>
    <w:p>
      <w:r>
        <w:t xml:space="preserve">B. GEOGRAPHICAL DELIMITATION OF MARKETS  </w:t>
        <w:br/>
        <w:t xml:space="preserve">1. THE UPSTREAM MARKET FOR THE SUPPLY OF FRESH FOOD PRODUCTS  </w:t>
        <w:br/>
        <w:t xml:space="preserve">14. The geographical dimension of the market for the supply of food products is national. Indeed, due to consumer preferences, tastes, and eating habits, price differences, variations in market shares held by major operators across different Member States, and the presence of manufacturer or distributor brands marketed only nationally, an expansion of the geographical dimension to the European level is not relevant.  </w:t>
        <w:br/>
        <w:t xml:space="preserve">2. THE DOWNSTREAM MARKETS FOR WHOLESALE DISTRIBUTION OF FOOD PRODUCTS  </w:t>
        <w:br/>
        <w:t xml:space="preserve">15. National decision-making practice has considered that the markets for wholesale distribution of food products to large-scale retailers are of national dimension. However, regarding the wholesale sale of food products to convenience stores, the notifying party emphasized that it is appropriate to consider a local catchment area for these markets, in accordance with the practice in the case of wholesale sales to cafés, hotels, and restaurants (“CHR”).  </w:t>
        <w:br/>
        <w:t xml:space="preserve">16. In this case, however, the question of the precise delimitation of these markets can be left open, as the conclusions of the analysis remain unchanged. Indeed, the operation does not result in any overlap of activities at the local level.  </w:t>
        <w:br/>
        <w:t xml:space="preserve">III. COMPETITIVE ANALYSIS OF THE OPERATION  </w:t>
        <w:br/>
        <w:t xml:space="preserve">A. UPSTREAM MARKETS FOR THE SUPPLY OF FOOD PRODUCTS  </w:t>
        <w:br/>
        <w:t xml:space="preserve">17. The parties concerned are simultaneously present as buyers in the supply markets for: (i) frozen products and ice creams; (ii) grocery and confectionery products; (iii) fruits and vegetables; (iv) dairy products; (v) meat products.  </w:t>
        <w:br/>
        <w:t xml:space="preserve">18. In any event, the market share of the new entity in each of the markets concerned by the operation did not exceed [0-5]% in 2004. The notifying party further estimated that the position of the group had not significantly changed since that date.  </w:t>
        <w:br/>
        <w:t xml:space="preserve">19. Thus, the notified operation is not likely to strengthen the purchasing power of the companies concerned with respect to their suppliers.  </w:t>
        <w:br/>
        <w:t xml:space="preserve">5 See letter n° C2008-119 mentioned above.  </w:t>
        <w:br/>
        <w:t xml:space="preserve">6 Decision of the Competition Authority n°10-DCC-25 of March 19, 2010, regarding the exclusive control of assets of the Louis Delhaize group by H Distribution.  </w:t>
        <w:br/>
        <w:t xml:space="preserve">7 Decision of the Competition Authority n°10-DCC-158 of November 22, 2010.  </w:t>
        <w:br/>
        <w:t xml:space="preserve">B. DOWNSTREAM MARKETS FOR WHOLESALE DISTRIBUTION OF FOOD PRODUCTS TO CONVENIENCE STORES  </w:t>
        <w:br/>
        <w:t xml:space="preserve">20. The activities of the parties overlap in the wholesale distribution markets for convenience stores of: (i) frozen products and ice creams; (ii) grocery and confectionery products; (iii) fruits and vegetables; (iv) dairy products; (v) meat products.  </w:t>
        <w:br/>
        <w:t xml:space="preserve">21. At the national level, the notifying party estimated that the new entity would have a market share of less than [0-5]% following the operation in each of the concerned markets and would continue to face competition from companies such as Pomona, Transgourmet, and Brake. The notifying party also indicated that the competitive situation had not significantly changed since 2004.  </w:t>
        <w:br/>
        <w:t xml:space="preserve">22. Finally, at the local level, the operation does not result in any overlap of activities.  </w:t>
        <w:br/>
        <w:t xml:space="preserve">23. Thus, the notified operation is not likely to harm competition through horizontal effects in the various concerned markets for wholesale distribution to convenience stores.  </w:t>
        <w:br/>
        <w:t xml:space="preserve">DECIDES  </w:t>
        <w:br/>
        <w:t xml:space="preserve">Sole Article: The notified operation under number 11-0112 is authorized.  </w:t>
        <w:br/>
        <w:t xml:space="preserve">The President,  </w:t>
        <w:br/>
        <w:t xml:space="preserve">Bruno Lasserre  </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