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https://www.autoritedelaconcurrence.fr/fr/decision-de-controle-des-concentrations/relative-la-prise-de-controle-exclusif-du-groupe-manoir</w:t>
      </w:r>
    </w:p>
    <w:p>
      <w:r>
        <w:t>Pages translated : 9</w:t>
      </w:r>
    </w:p>
    <w:p/>
    <w:p>
      <w:r>
        <w:rPr>
          <w:b/>
        </w:rPr>
        <w:t>[Pages 1–3]</w:t>
      </w:r>
    </w:p>
    <w:p>
      <w:r>
        <w:t xml:space="preserve">FRENCH REPUBLIC  </w:t>
        <w:br/>
        <w:t xml:space="preserve">Decision No. 14-DCC-75 of June 4, 2014  </w:t>
        <w:br/>
        <w:t xml:space="preserve">regarding the exclusive control of the Manoir Aerospace group  </w:t>
        <w:br/>
        <w:t>by Lisi Aerospace Creuzet SAS</w:t>
      </w:r>
    </w:p>
    <w:p>
      <w:r>
        <w:t xml:space="preserve">The Competition Authority,  </w:t>
        <w:br/>
        <w:t xml:space="preserve">Having regard to the notification file submitted in full to the merger service on April 25, 2014,  </w:t>
        <w:br/>
        <w:t xml:space="preserve">regarding the exclusive control of the Manoir Aerospace group by Lisi Aerospace Creuzet SAS formalized by an offer to acquire 100% of the shares and voting rights of Airmon Holdings to the shareholders dated April 25, 2014, and a share purchase agreement dated May 6, 2014;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Lisi Aerospace Creuzet is a company indirectly controlled by Lisi SA, the parent holding company of the Lisi group. The activities of the Lisi group are organized around three divisions: Lisi Automotive, active in the manufacturing and supply of fasteners and assembly components for the automotive and industry sectors (excluding aeronautics); Lisi Aerospace, which encompasses activities in the manufacturing and supply of fasteners for aeronautics, as well as various aerostructure elements and engine components; and Lisi Medical, which engages in subcontracting in the field of industrial manufacturing of medical implants and orthopedic, trauma, spinal, and dental instruments.  </w:t>
        <w:br/>
        <w:t xml:space="preserve">2. Manoir Aerospace is a simplified joint-stock company owned by Airmon Holdings, which is itself controlled by Airmon Lux, a Luxembourg law limited partnership. The Manoir Aerospace group is primarily active in the aeronautics sector and marginally in the sectors of defense, energy, and medical. In the aeronautics sector, the group is active in the manufacturing of aircraft engine components, structural components, brakes and landing gear, helicopters, as well as foundry. It is a "Tier 2" subcontractor that provides primary parts and subassemblies, mainly to "Tier 1" system integrators and equipment manufacturers, who themselves supply the aircraft manufacturers (Original Equipment Manufacturers, hereinafter "OEM") in the context of aircraft and engine construction.  </w:t>
        <w:br/>
        <w:t xml:space="preserve">3. On April 25, 2014, Lisi Aerospace submitted an offer to acquire 100% of the shares and voting rights of Airmon Holdings to its shareholders, and the parties entered into a share acquisition agreement dated May 6, 2014. As it results in the exclusive control of Airmon Holdings by Lisi Aerospace, the notified operation constitutes a concentration operation within the meaning of Article L. 430-1 of the Commercial Code.  </w:t>
        <w:br/>
        <w:t>4. The concerned companies together achieve a consolidated worldwide turnover excluding tax of more than 150 million euros (Lisi: […] euros for the fiscal year ending December 31, 2013; Manoir Aerospace group: […] euros for the fiscal year ending December 31, 2013). Each of the concerned companies achieves in France a turnover exceeding 50 million euros excluding tax (Lisi: […] euros for the fiscal year ending December 31, 2013; Manoir Aerospace: […] euros for the fiscal year ending December 31, 2013). The control thresholds of Article L.430-3 of the Commercial Code are therefore exceeded. Since the combined worldwide turnover of the parties does not exceed the threshold of 2.5 billion euros, the operation does not fall under the jurisdiction of the European Union. The concentration is thus subject to the provisions of Articles L.430-3 and following of the Commercial Code relating to economic concentration.</w:t>
      </w:r>
    </w:p>
    <w:p>
      <w:r>
        <w:t xml:space="preserve">II. Definition of the relevant markets  </w:t>
        <w:br/>
        <w:t xml:space="preserve">5. The markets concerned by the operation fall within the aeronautics sector, particularly that of manufacturing engine blades on which the parties are simultaneously present, as well as the medical sector, particularly that of hip prosthesis manufacturing.  </w:t>
        <w:br/>
        <w:t xml:space="preserve">A. THE AERONAUTICS SECTOR  </w:t>
        <w:br/>
        <w:t xml:space="preserve">6. Both parties are involved in the manufacturing of aeronautical assembly components.  </w:t>
        <w:br/>
        <w:t xml:space="preserve">1. THE PRODUCT MARKET  </w:t>
        <w:br/>
        <w:t xml:space="preserve">7. The Competition Authority has previously noted that "in terms of spare parts, national decision-making practice considers that each type of part can constitute a relevant market," given the lack of substitutability between them. This solution has notably already been adopted in the aeronautics sector, as each part corresponds to a different use: competition authorities have, while generally leaving the question of potential segmentations open, already considered markets relating to certain components, such as connectors, filtration systems, or aeronautical fasteners, or more recently low-pressure turbines and combustion chambers.  </w:t>
        <w:br/>
        <w:t xml:space="preserve">8. Both parties are present in the market for aircraft parts and components as well as in the market for helicopter parts and components, which the European Commission has already distinguished.  </w:t>
        <w:br/>
        <w:t xml:space="preserve">a) The market for aircraft parts and components  </w:t>
        <w:br/>
        <w:t xml:space="preserve">9. In the sector of aircraft parts and components, both parties are active in the segments of aircraft engine components, aerostructure equipment, and aeronautical equipment.  </w:t>
        <w:br/>
        <w:t xml:space="preserve">i. Aeronautical Components  </w:t>
        <w:br/>
        <w:t xml:space="preserve">10. It follows from European decision-making practice that the market for aeronautical components can be segmented according to the type of component. The parties indicate that their activities only overlap in the construction of compressor blades, parts that compress air in engines and for which they propose to define a distinct market.  </w:t>
        <w:br/>
        <w:t xml:space="preserve">11. They particularly believe that the market for compressor blades should be distinguished from that of turbine blades, as they are manufactured using different technologies (forging for compressor blades, casting for turbine blades due to high heat constraints) and each type of blade is made from different metals (mainly steel, titanium, and inconel for compressor blades, and mainly from nickel and cobalt-based refractory materials for turbine blades). Finally, they argue that, in light of decision-making practice, it is appropriate to exclude segmentation based on the civil or military destination of these components since they are spare parts and not finished products. Furthermore, aircraft engine compressor blades do not differ according to their final use.  </w:t>
        <w:br/>
        <w:t>12. In any event, the question of the exact definition of the relevant market can be left open insofar as, regardless of the segmentation adopted, the conclusions of the competitive analysis remain unchanged.</w:t>
      </w:r>
    </w:p>
    <w:p>
      <w:r>
        <w:rPr>
          <w:b/>
        </w:rPr>
        <w:t>[Pages 4–6]</w:t>
      </w:r>
    </w:p>
    <w:p>
      <w:r>
        <w:t>ii. Aerostructure Components</w:t>
      </w:r>
    </w:p>
    <w:p>
      <w:r>
        <w:t>13. The Minister in charge of the economy has identified a global market for aerostructure components, encompassing both the smallest parts (such as hooks and cables) and the largest (notably wings and fuselage), and has considered, while leaving the question open, a segmentation based on the type of aerostructure concerned (wings, doors, etc.). In this case, both parties are present in the sectors of nacelle structure components and fuselage structure components.</w:t>
      </w:r>
    </w:p>
    <w:p>
      <w:r>
        <w:t>14. Regarding spare parts, in the field of aerostructure components considered piece by piece, the operation will not result in any overlap of activity insofar as the parties do not manufacture the same parts.</w:t>
      </w:r>
    </w:p>
    <w:p>
      <w:r>
        <w:t>15. In any event, the question of the exact definition of the relevant market can be left open insofar as, regardless of the segmentation retained, the conclusions of the competitive analysis remain unchanged.</w:t>
      </w:r>
    </w:p>
    <w:p>
      <w:r>
        <w:t>iii. Aeronautical Equipment</w:t>
      </w:r>
    </w:p>
    <w:p>
      <w:r>
        <w:t>16. With respect to aeronautical equipment, the decisional practice distinguishes between avionics equipment, whose controls are installed in the cockpit and are used for the control of the aircraft, and non-avionics equipment, which concerns various systems, such as those for air conditioning, electrical power supply, wheels and brakes, landing gear, and lighting. In this case, both parties are active in the sector of non-avionics equipment. An additional distinction is generally made between BFE ("Buyer Furnished Equipment"), purchased directly by airlines and other end users (for example, leasing companies), and SFE ("Supplier Furnished Equipment"), selected and purchased directly by aircraft manufacturers.</w:t>
      </w:r>
    </w:p>
    <w:p>
      <w:r>
        <w:t>17. Regarding spare parts, in the market for aeronautical equipment considered piece by piece, the operation will not result in any overlap of activity in the field considered piece by piece, insofar as they do not manufacture the same parts.</w:t>
      </w:r>
    </w:p>
    <w:p>
      <w:r>
        <w:t>18. In any event, the question of the exact definition of the market can be left open insofar as, regardless of the segmentation retained, the conclusions of the competitive analysis remain unchanged.</w:t>
      </w:r>
    </w:p>
    <w:p>
      <w:r>
        <w:t>b) The Market for Helicopter Parts and Components</w:t>
      </w:r>
    </w:p>
    <w:p>
      <w:r>
        <w:t>19. The decisional practice has not segmented the market for helicopter components. The notifying party nevertheless proposes to present the market by analogy, using the segmentation applied to aircraft by distinguishing between helicopter fasteners, helicopter structure components, and helicopter equipment. In this case, both parties are simultaneously present in the market for structure components and equipment for helicopters, which they have not segmented according to civilian or military destination, concerning an upstream market for spare parts.</w:t>
      </w:r>
    </w:p>
    <w:p>
      <w:r>
        <w:t>20. In any event, the question of the exact definition of the markets can be left open insofar as, regardless of the one retained, the conclusions of the competitive analysis remain unchanged.</w:t>
      </w:r>
    </w:p>
    <w:p>
      <w:r>
        <w:t>2. THE GEOGRAPHIC MARKET</w:t>
      </w:r>
    </w:p>
    <w:p>
      <w:r>
        <w:t>21. The European Commission has already had the opportunity to consider that the market for aircraft engine components was global, insofar as suppliers and their main competitors are active at a global level, and where the purchasing policy carried out by their clients is global, notably due to low transportation costs.</w:t>
      </w:r>
    </w:p>
    <w:p>
      <w:r>
        <w:t>22. Similarly, the market for aerostructure components and its possible segmentations is, according to the decisional practice, global.</w:t>
      </w:r>
    </w:p>
    <w:p>
      <w:r>
        <w:t>23. The market for civil aeronautical equipment is also global. In the case of military aeronautical equipment, the Commission has made a distinction between producing countries and countries where there is no national producer (particularly for system control), defining the market as national in the first case and European in the second, even if the definition of national markets tends to be challenged. Regarding spare parts, the positions of the parties will be analyzed at a global level in the market for aeronautical equipment.</w:t>
      </w:r>
    </w:p>
    <w:p>
      <w:r>
        <w:t>24. Finally, by analogy to the aeronautical sector, the parties propose to reason on a global market for helicopter parts and components. The competitive analysis will therefore be conducted at a global level.</w:t>
      </w:r>
    </w:p>
    <w:p>
      <w:r>
        <w:t>B. THE MEDICAL SECTOR</w:t>
      </w:r>
    </w:p>
    <w:p>
      <w:r>
        <w:t>1. THE PRODUCT MARKET</w:t>
      </w:r>
    </w:p>
    <w:p>
      <w:r>
        <w:t>25. The parties are also both active in the medical sector, where their activities overlap in the market for the manufacture of hip prostheses, in which they participate by selling their products under subcontracting agreements concluded with various OEMs. The latter define the plan and technical specifications for the manufacture of hip prostheses and are responsible for clinical trials and obtaining marketing authorizations from the competent health authorities in each country, as well as for marketing their products to medical establishments.</w:t>
      </w:r>
    </w:p>
    <w:p>
      <w:r>
        <w:t>26. The subcontracting market is therefore characterized by the fact that the parties are never required to sell directly to these establishments, insofar as, notably, they do not hold the intellectual property rights related to the products they manufacture (these rights are owned by the OEMs designing the prostheses).</w:t>
      </w:r>
    </w:p>
    <w:p>
      <w:r>
        <w:t>27. In the hip prosthesis subcontracting market, Manoir Aerospace produces hip prosthesis blanks (which consist of a femoral stem), while Lisi Medical also manufactures finished hip prostheses as well as all the components that make them up (acetabulum, insert, femoral head, and femoral stem).</w:t>
      </w:r>
    </w:p>
    <w:p>
      <w:r>
        <w:t>28. The European Commission has already had the opportunity to define, in the downstream market of selling hip prostheses to end customers by OEMs, a market corresponding to a total hip prosthesis, without segmentation being implemented due to design differences to meet surgical objectives. Upstream, OEMs can either manufacture the hip prostheses themselves within their production sites or subcontract this activity in whole or in part. The use of subcontracting takes either the form of supplying OEMs with semi-finished products (prosthesis blanks or acetabula) or finished products, the difference between a prosthesis blank and a finished prosthesis lying notably in the sterilization process of the product. The parties therefore consider that the two degrees of finishing involved appear to be substitutable for the OEMs who have the possibility of providing the final finishing elements required in-house, and they consider that the product market in question is that of the complete hip prosthesis intended for OEMs.</w:t>
      </w:r>
    </w:p>
    <w:p>
      <w:r>
        <w:t>29. In any event, the question of the exact definition of the markets can be left open insofar as, regardless of the segmentation retained, the conclusions of the competitive analysis remain unchanged.</w:t>
      </w:r>
    </w:p>
    <w:p>
      <w:r>
        <w:t>2. THE GEOGRAPHIC MARKET</w:t>
      </w:r>
    </w:p>
    <w:p>
      <w:r>
        <w:t>30. The decisional practice of the Commission has defined a national market concerning the activity of OEMs in the hip prosthesis market, notably due to the national reimbursement regime applicable to it, the necessity for end customers (doctors and hospitals) to receive training and have follow-up in the use of the products, as well as the differences in prices and market shares of companies active in this sector depending on the country in question.</w:t>
      </w:r>
    </w:p>
    <w:p>
      <w:r>
        <w:t>31. However, the parties are only active in the upstream market of subcontracting to OEMs, whose purchase of prostheses is not governed by any national reimbursement regime. These regimes thus have no impact on the sales conditions of subcontractors to OEMs. The notifying party also reports that there is no significant difference in the prices of products sold by the parties depending on the country of purchase by the OEMs. Unlike doctors and hospitals, OEMs also do not require specific training or follow-up in the use of the products sold by the parties.</w:t>
      </w:r>
    </w:p>
    <w:p>
      <w:r>
        <w:t>32. Furthermore, the parties' clients are large international groups. Lisi Medical primarily responds to international or European tenders from OEMs such as Stryker, Smith &amp; Nephew, Biomet, Zimmer, or Depuy, which represent 80% of the market. The parties thus ensure the delivery of their products in many countries (France, United Kingdom, United States, Japan, and soon Russia for Lisi Medical; France, Germany, United States for Manoir). The demand for marketing, the filing of</w:t>
      </w:r>
    </w:p>
    <w:p>
      <w:r>
        <w:rPr>
          <w:b/>
        </w:rPr>
        <w:t>[Pages 7–9]</w:t>
      </w:r>
    </w:p>
    <w:p>
      <w:r>
        <w:t>marking with the authorities and market surveillance are the responsibility of the OEMs, and not the subcontractors.</w:t>
      </w:r>
    </w:p>
    <w:p>
      <w:r>
        <w:t>33. The parties thus believe that the market for the manufacture and supply of hip prostheses to OEMs should be analyzed at a global level. However, they also provide their revenue figures at the national level.</w:t>
      </w:r>
    </w:p>
    <w:p>
      <w:r>
        <w:t>34. The precise definition of the geographical dimension of the market may, in any event, be left open, insofar as, regardless of the delimitation adopted, the conclusions of the competitive analysis will remain unchanged.</w:t>
      </w:r>
    </w:p>
    <w:p>
      <w:r>
        <w:t>III. Competitive Analysis</w:t>
      </w:r>
    </w:p>
    <w:p>
      <w:r>
        <w:t>A. THE AERONAUTICAL SECTOR</w:t>
      </w:r>
    </w:p>
    <w:p>
      <w:r>
        <w:t>1. HORIZONTAL EFFECTS</w:t>
      </w:r>
    </w:p>
    <w:p>
      <w:r>
        <w:t>35. In the market for compressor blades, which the parties estimate at 333 million euros globally, Lisi Aerospace Creuzet represents [0-5]% of the market and the target group [5-10]%, resulting in a combined market share of [5-10]%. The increment resulting from the operation is therefore moderate, and the entity resulting from the concentration will represent only a limited part of the relevant market. It will also face competition from larger groups, notably BTL and Leistritz, which hold respective market shares of [30-40]% and [20-30]% globally. Finally, the customers of the parties are engine manufacturers (such as Snecma), aircraft manufacturers (such as Airbus), or major equipment manufacturers (such as Safran or UTC) who define each type of part manufactured within the specific specifications for each type of aircraft, as well as their use and functionalities, and have significant bargaining power. These operators are also capable of covering their needs internally and can call upon several suppliers simultaneously for the same part.</w:t>
      </w:r>
    </w:p>
    <w:p>
      <w:r>
        <w:t>36. In the market for aircraft engine components considered as a whole, which the notifying party estimates at 6 billion euros, the market share increment resulting from the operation is negligible, with the parties estimating their combined market shares at [0-5]%.</w:t>
      </w:r>
    </w:p>
    <w:p>
      <w:r>
        <w:t>37. Regarding aerostructure components, a market that the notifying party estimates at 43.6 billion dollars in 2011, the additions to market share resulting from the operation are also limited, with Lisi's market share estimated at [0-5]% and Manoir Aerospace's at [0-5]%. In the segment of nacelle structures alone, valued at 2.1 billion euros, Lisi's market share is estimated at [0-5]% and Manoir Aerospace's at [0-5]%, while in the fuselage structures market, which the parties estimate at 10.4 billion euros, Lisi's market share is estimated at [0-5]% and Manoir Aerospace's at [0-5]%. The notifying party further emphasizes that regardless of the sector concerned, the operation will not result in any overlap, as the parties do not produce the same parts.</w:t>
      </w:r>
    </w:p>
    <w:p>
      <w:r>
        <w:t>38. Similarly, the notifying party indicates that the operation does not result in any overlap in the aeronautical equipment sector, as the Manoir Aerospace group manufactures primary components used in the production of brake and landing systems, while Lisi Aerospace is active in the manufacture of cabin equipment, oil tanks, and floor coverings. In the global market for non-avionic equipment, estimated at 7 billion euros, Lisi's market share is [0-5]% and Manoir Aerospace's is [0-5]%.</w:t>
      </w:r>
    </w:p>
    <w:p>
      <w:r>
        <w:t>39. In the market for helicopter parts and components, both parties operate in the segment of helicopter structure elements (where their combined market share is estimated at [5-10]%) and in the segment of helicopter equipment (where the combined market share is estimated at [0-5]%). The parties produce different parts, and their activities do not overlap at this level.</w:t>
      </w:r>
    </w:p>
    <w:p>
      <w:r>
        <w:t>40. Consequently, the operation is not likely to harm competition through horizontal effects.</w:t>
      </w:r>
    </w:p>
    <w:p>
      <w:r>
        <w:t>2. CONGLOMERATE EFFECTS</w:t>
      </w:r>
    </w:p>
    <w:p>
      <w:r>
        <w:t>41. A concentration is likely to lead to conglomerate effects when the new entity expands or strengthens its presence in markets that are related to other markets where it holds market power. In this case, the operation has the effect of broadening Lisi Aerospace's activities in the production and sale of several aeronautical components.</w:t>
      </w:r>
    </w:p>
    <w:p>
      <w:r>
        <w:t>42. Nevertheless, the market power of the entity resulting from the operation in the various concerned markets and segments will be limited, with the new entity not exceeding [5-10]% market share across all conceivable segmentations. Furthermore, the competitors of the parties in the aeronautical components sector are mostly large international groups that are larger, which also have the capacity to offer a diverse range of products. Thus, PCC, Alcoa, Barns, or GKN have a product range at least as comprehensive as that which may be offered by the entity resulting from the operation.</w:t>
      </w:r>
    </w:p>
    <w:p>
      <w:r>
        <w:t>43. Finally, in the aeronautical sector, holding a range of products does not constitute a competitive advantage with respect to customers who, in selecting their suppliers, organize tenders by part and by program, and, like Airbus, Boeing, or Safran/Snecma, have significant bargaining power.</w:t>
      </w:r>
    </w:p>
    <w:p>
      <w:r>
        <w:t>44. The operation is therefore not likely to harm competition in the aeronautical components sector through conglomerate effects.</w:t>
      </w:r>
    </w:p>
    <w:p>
      <w:r>
        <w:t>B. THE MEDICAL SECTOR</w:t>
      </w:r>
    </w:p>
    <w:p>
      <w:r>
        <w:t>45. Based on the number of outsourced hip prostheses and their average prices, the notifying party estimates the market for the outsourcing of hip prostheses at 467 million euros. On this basis, the market share of the Lisi group at the global level is estimated at [10-20]% and that of the Manoir Aerospace group at [0-5]%. The market share increment resulting from the operation is therefore extremely limited.</w:t>
      </w:r>
    </w:p>
    <w:p>
      <w:r>
        <w:t>46. Furthermore, the entity resulting from the concentration will face competition from significant operators, notably the Symmetry group (United States), Maris (France), SMB SA (Switzerland), Wichard (France), Aristo tech (France), or Forginal Industrie (France). In addition, the demand for outsourced hip prostheses is concentrated, with the five main OEMs (Zimmer, Stryker, Depuy, Biomet, and Smith &amp; Nephew) representing 80% of the downstream market. The customers of the parties therefore have bargaining power, especially since they remain capable of covering all their needs internally.</w:t>
      </w:r>
    </w:p>
    <w:p>
      <w:r>
        <w:t>47. Consequently, the operation is not likely to harm competition through horizontal effects in the hip prosthesis market.</w:t>
      </w:r>
    </w:p>
    <w:p>
      <w:r>
        <w:t>DECIDES</w:t>
      </w:r>
    </w:p>
    <w:p>
      <w:r>
        <w:t>Sole Article: The operation notified under number 14-056 is authorized.</w:t>
      </w:r>
    </w:p>
    <w:p>
      <w:r>
        <w:t>The President,</w:t>
      </w:r>
    </w:p>
    <w:p>
      <w:r>
        <w:t>Bruno Lasserre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