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https://www.autoritedelaconcurrence.fr/fr/decision-de-controle-des-concentrations/relative-la-prise-de-controle-exclusif-du-groupe-marignan</w:t>
      </w:r>
    </w:p>
    <w:p>
      <w:r>
        <w:t>Pages translated : 2</w:t>
      </w:r>
    </w:p>
    <w:p/>
    <w:p>
      <w:r>
        <w:rPr>
          <w:b/>
        </w:rPr>
        <w:t>[Pages 1–2]</w:t>
      </w:r>
    </w:p>
    <w:p>
      <w:r>
        <w:t xml:space="preserve">FRENCH REPUBLIC  </w:t>
        <w:br/>
        <w:t xml:space="preserve">Decision No. 21-DCC-127 of July 30, 2021  </w:t>
        <w:br/>
        <w:t xml:space="preserve">regarding the exclusive control of the Marignan group by the  </w:t>
        <w:br/>
        <w:t xml:space="preserve">company Bassac  </w:t>
        <w:br/>
        <w:t xml:space="preserve">The Competition Authority,  </w:t>
        <w:br/>
        <w:t xml:space="preserve">Having regard to the complete notification file sent to the mergers department on July 13, 2021  </w:t>
        <w:br/>
        <w:t xml:space="preserve">concerning the acquisition of control of the Marignan group by the company Bassac, formalized by a share transfer deed dated June 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the company SAS Bayard Holding,  </w:t>
        <w:br/>
        <w:t xml:space="preserve">which holds the entirety of the company Marignan, the head company of the Marignan group, by the company Bassac. The parties are both active in the markets of residential real estate development and office space.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21-118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