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https://www.autoritedelaconcurrence.fr/fr/decision-de-controle-des-concentrations/relative-la-prise-de-controle-exclusif-du-groupe-marlink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21-DCC-195 of October 26, 2021  </w:t>
        <w:br/>
        <w:t xml:space="preserve">regarding the exclusive control acquisition of the Marlink group by the company  </w:t>
        <w:br/>
        <w:t xml:space="preserve">Providence Equity Partners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September 30, 2021, concerning the exclusive control acquisition of the Marlink group by the company  </w:t>
        <w:br/>
        <w:t xml:space="preserve">Providence Equity Partners and formalized by a share transfer agreement dated  </w:t>
        <w:br/>
        <w:t xml:space="preserve">September 3,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Providence Equity  </w:t>
        <w:br/>
        <w:t xml:space="preserve">Partners of the Marlink group active in the satellite telecommunications services sector.  </w:t>
        <w:br/>
        <w:t xml:space="preserve">It constitutes a concentration operation within the meaning of Article L. 430-1 of the Commercial Code.  </w:t>
        <w:br/>
        <w:t xml:space="preserve">Given the revenues generated by the companies concerned, the operation does not fall under the jurisdiction of the European Union.  </w:t>
        <w:br/>
        <w:t xml:space="preserve">On the other hand, the control thresholds mentioned in 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21-190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