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https://www.autoritedelaconcurrence.fr/fr/decision-de-controle-des-concentrations/relative-la-prise-de-controle-exclusif-du-groupe-mathilde</w:t>
      </w:r>
    </w:p>
    <w:p>
      <w:r>
        <w:t>Pages translated : 16</w:t>
      </w:r>
    </w:p>
    <w:p/>
    <w:p>
      <w:r>
        <w:rPr>
          <w:b/>
        </w:rPr>
        <w:t>[Pages 1–3]</w:t>
      </w:r>
    </w:p>
    <w:p>
      <w:r>
        <w:t xml:space="preserve">FRENCH REPUBLIC  </w:t>
        <w:br/>
        <w:t xml:space="preserve">Decision No. 19-DCC-261 of December 20, 2019  </w:t>
        <w:br/>
        <w:t xml:space="preserve">regarding the exclusive control of the Mathilde Médical Développement group  </w:t>
        <w:br/>
        <w:t>by the Vivalto Santé group</w:t>
      </w:r>
    </w:p>
    <w:p>
      <w:r>
        <w:t xml:space="preserve">The Competition Authority,  </w:t>
        <w:br/>
        <w:t xml:space="preserve">Having regard to the notification file submitted in full to the concentrations service on  </w:t>
        <w:br/>
        <w:t xml:space="preserve">November 18, 2019, concerning the acquisition of the Mathilde Médical Développement group by the  </w:t>
        <w:br/>
        <w:t xml:space="preserve">Vivalto Santé group, formalized by three purchase promises dated July 31, 2019;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Summary1  </w:t>
        <w:br/>
        <w:t xml:space="preserve">By means of the decision below, the Authority examined the exclusive control of the Mathilde Médical Développement group by the Vivalto Santé group.  </w:t>
        <w:br/>
        <w:t xml:space="preserve">The Vivalto Santé group is present in the former Haute-Normandie region through five establishments: the Europe Clinic (76), the Mégival Clinic (76), the Aubépines Mégival Clinic (76), the Saint-Antoine Clinic (76), and the Pasteur Private Hospital (27). MMD, for its part, owns in Haute-Normandie the Mathilde Clinic (76), the Bergouignan Clinic (27), and a radiotherapy center.  </w:t>
        <w:br/>
        <w:t xml:space="preserve">According to the competitive analysis, the Authority ruled out any risk of harm to competition through horizontal effects in the markets for hospital care and diagnostics, both at the level of the former Haute-Normandie region and the Seine-Maritime department, given the limited market shares of the parties.  </w:t>
        <w:br/>
        <w:t xml:space="preserve">Regarding the Eure department, the Authority noted significant patient leakage rates from residents in Eure, who travel to another department, notably Seine-Maritime, for care. The competitive pressure exerted by these establishments owned by competitors on the parties' establishments in the Eure department is likely to limit Vivalto Santé's market power after the transaction, so the Authority was able to rule out any risk of harm to competition in this department.  </w:t>
        <w:br/>
        <w:t xml:space="preserve">The Authority also ruled out any risk of harm to competition in the market for elective cosmetic surgery at the national or regional level given the limited positions of the parties in this market.  </w:t>
        <w:br/>
        <w:t xml:space="preserve">The risks of conglomerate effects were also ruled out as the new entity will not hold any ARS authorization that another establishment or group of establishments would not hold in the Seine-Maritime department. In the Eure department, while the target establishments hold two non-replicated authorizations, the practitioners working in these establishments regarding these specialties do not work, moreover, in a competing establishment.  </w:t>
        <w:br/>
        <w:t xml:space="preserve">Finally, the risk of strengthening a purchasing power can be ruled out since the new entity will represent less than 1% of hospital purchases in France.  </w:t>
        <w:br/>
        <w:t xml:space="preserve">In light of these elements, the Authority therefore authorized the notified operation.  </w:t>
        <w:br/>
        <w:t>1 This summary is strictly informative. Only the reasons for the decision numbered below are authoritative.</w:t>
      </w:r>
    </w:p>
    <w:p>
      <w:r>
        <w:t xml:space="preserve">I. The companies involved and the transaction  </w:t>
        <w:br/>
        <w:t xml:space="preserve">1. The public limited company Vivalto Santé Investissement (hereinafter "Vivalto Santé") is a 100% subsidiary of the French law company Vivalto Santé, which operates in the hospital sector through holdings in 31 private healthcare establishments. Vivalto Santé is indirectly owned, up to [...] %, by the company Vivalto Santé Holding, which is jointly controlled by the Caisse des dépôts et consignations, via BpiFrance International Capital, Mubadala Investment* Company PJSC, via the company 41st Investment Company, and Vivalto International.  </w:t>
        <w:br/>
        <w:t xml:space="preserve">2. The Caisse des dépôts et consignations (hereinafter the "CDC") is a public institution created by the law of April 28, 1816, and governed by Articles L. 518-2 and following of the Monetary and Financial Code. Article L. 518-2 of the Monetary and Financial Code states that the CDC and its subsidiaries constitute a public group serving the general interest and the economic development of the country. This group fulfills missions of general interest in support of public policies conducted by the State and local authorities and may engage in competitive activities. It is placed "under the supervision and guarantee of the legislative authority."  </w:t>
        <w:br/>
        <w:t xml:space="preserve">3. The CDC includes among its subsidiaries the company Icade, which makes investments in the real estate sector, notably in the acquisition of properties of healthcare establishments as part of partnerships with the operating tenants via its subsidiary Icade Santé. In this capacity, Icade Santé has no operational activity in healthcare establishments and only invests in the properties of these establishments.  </w:t>
        <w:br/>
        <w:t xml:space="preserve">4. Mubadala Investment* Company PJSC (hereinafter "Mubadala") is an investment group wholly owned by the government of the Emirate of Abu Dhabi in the United Arab Emirates. Mubadala invests in numerous strategic sectors, such as energy, real estate, public-private partnerships, aerospace, industry, and services. To date, Mubadala does not hold any other controlling interest than Vivalto Santé in companies belonging to the hospital sector in France.  </w:t>
        <w:br/>
        <w:t xml:space="preserve">5. Vivalto International is a company under Luxembourg law, controlled by Mr. and Mrs. Caille. Vivalto International indirectly holds non-controlling interests in the sector of accommodation and care for the elderly, notably through the operation of EHPAD (Establishments for Dependent Elderly Persons) and in the sector of home care services.  </w:t>
        <w:br/>
        <w:t xml:space="preserve">6. The Mathilde Médical Développement group (hereinafter "MMD") consists of the company MMD, the company Mathilde II, the company Lessard, and their subsidiaries.  </w:t>
        <w:br/>
        <w:t xml:space="preserve">7. The company MMD, controlled by practitioner shareholders, is active in the markets for hospital diagnostics and care through four healthcare establishments: the Mathilde Clinic located in Rouen (76), the Bergouignan Clinic located in Évreux (27), and two radiotherapy centers located in Évreux and Melun (77).  </w:t>
        <w:br/>
        <w:t xml:space="preserve">8. The companies Mathilde II and Lessard, controlled respectively by the company MMD and practitioner shareholders, hold, directly or indirectly, the real estate complex within which the Mathilde Clinic operates.  </w:t>
        <w:br/>
        <w:t xml:space="preserve">2 Decision of the European Commission M.7833 of December 14, 2015 CDC International Capital / Mubadala Development Company / Vivalto Bel / Group Vivalto Santé.  </w:t>
        <w:br/>
        <w:t>* Correction of a material error.</w:t>
      </w:r>
    </w:p>
    <w:p>
      <w:r>
        <w:rPr>
          <w:b/>
        </w:rPr>
        <w:t>[Pages 4–6]</w:t>
      </w:r>
    </w:p>
    <w:p>
      <w:r>
        <w:t xml:space="preserve">9. The operation consists of the acquisition, directly or indirectly, of at least […] % of the capital of the companies MMD, Mathilde II, and Lessard by Vivalto Santé.  </w:t>
        <w:br/>
        <w:t xml:space="preserve">10. The acts subject to notification provide that the simultaneous transfer of shares of the three target companies constitutes an essential and determining condition for the consent of Vivalto Santé. Given the conditional link uniting these three operations, they constitute interdependent operations within the meaning of paragraphs 64 and 65 of the Guidelines of the Competition Authority regarding the control of concentrations. In accordance with their paragraph 63, these three operations should be considered as a single concentration operation (hereinafter, "the operation").  </w:t>
        <w:br/>
        <w:t xml:space="preserve">11. Insofar as it involves the exclusive control of the MMD group by the Vivalto Santé group, the notified operation constitutes a concentration within the meaning of Article L. 430-1 of the Commercial Code.  </w:t>
        <w:br/>
        <w:t xml:space="preserve">12. The companies concerned together achieve a total worldwide turnover excluding taxes of more than 150 million euros (Vivalto Santé: [≥ 150] million euros for the fiscal year ending December 31, 2018; MMD Group: [≤ 150] million euros for the same fiscal year). Each of these companies has achieved a turnover in France exceeding 50 million euros (Vivalto Santé: [≥ 50] million euros for the fiscal year ending December 31, 2018; MMD Group: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13. The operation gives rise to an overlap between the activities of the parties in the markets for the provision of hospital diagnostics and care, as well as in the market for elective cosmetic surgery, which are presented below.  </w:t>
        <w:br/>
        <w:t xml:space="preserve">A. THE SERVICE MARKETS  </w:t>
        <w:br/>
        <w:t xml:space="preserve">1. THE PROVISION OF HOSPITAL DIAGNOSTICS AND CARE  </w:t>
        <w:br/>
        <w:t xml:space="preserve">14. The Competition Authority and the European Commission consider that in France, it is not relevant to distinguish the provision of hospital diagnostics and care based on whether it originates from private or public establishments. Indeed, the patient is free to choose their establishment, public or private, without economic consideration, as the reimbursement of care does not depend on the status of the establishment in which it was provided. Furthermore, the generalization to all public and private establishments of the financing method constituted by activity-based pricing (known as "T2A"), on the one hand, and patients' recourse to complementary insurance, on the other hand, tends to increase patients' freedom of choice regarding the establishment in which they wish to be treated. Moreover, whether public or private, hospital establishments are generally intended to accommodate all patients, without economic or social consideration. Finally, all hospital establishments are subject to a common legal framework that defines the conditions for exercising their activity. This is regulated at the regional level by the regional health agencies (hereinafter, "ARS"), with which they may enter into contracts for objectives and means, and at the national level by the High Authority of Health (hereinafter, "HAS"), which notably implements a certification system for health establishments.  </w:t>
        <w:br/>
        <w:t xml:space="preserve">15. However, this market is segmented by type of activities to take into account the strong specialization of practitioners and the services of hospital establishments, as well as the necessity for a hospital establishment to obtain specific authorizations from the ARS for the exercise of certain medical or surgical specialties.  </w:t>
        <w:br/>
        <w:t xml:space="preserve">16. The competition authorities have thus considered a segmentation by "specialized activity groups" (hereinafter, "GAS"), corresponding to the major disciplines defined by the Public Health Code: medicine, surgery, obstetrics (hereinafter collectively, "MCO"), neonatology, psychiatry, follow-up and rehabilitation care (hereinafter, "SSR"), long-term care, oncology, diagnostic activities, emergencies, and resuscitation.  </w:t>
        <w:br/>
        <w:t xml:space="preserve">17. A narrower segmentation of the markets for the provision of hospital diagnostics and care by "major diagnostic category" (hereinafter, "CMD") has also been considered according to the classification of acts established by the medicalization program of information systems (hereinafter, "PMSI") implemented for activity-based pricing. This classification consists, according to the Technical Agency for Information on Hospitalization (hereinafter, "ATIH"), of identifying 28 "major categories," of which 26 CMDs most often correspond to a "functional system."  </w:t>
        <w:br/>
        <w:t xml:space="preserve">18. The 26 CMDs (numbered from CMD 1 to CMD 23, plus CMD 25, 26, and 28) are as follows:  </w:t>
        <w:br/>
        <w:t xml:space="preserve">• CMD 1 diseases of the nervous system  </w:t>
        <w:br/>
        <w:t xml:space="preserve">• CMD 2 diseases of the eye  </w:t>
        <w:br/>
        <w:t xml:space="preserve">• CMD 3 diseases of the ears, nose, throat, mouth, and teeth  </w:t>
        <w:br/>
        <w:t xml:space="preserve">• CMD 4 diseases of the respiratory system  </w:t>
        <w:br/>
        <w:t xml:space="preserve">• CMD 5 diseases of the circulatory system  </w:t>
        <w:br/>
        <w:t xml:space="preserve">• CMD 6 diseases of the digestive tract  </w:t>
        <w:br/>
        <w:t xml:space="preserve">• CMD 7 diseases of the hepatobiliary system and pancreas  </w:t>
        <w:br/>
        <w:t xml:space="preserve">• CMD 8 diseases and injuries of the musculoskeletal system and connective tissue  </w:t>
        <w:br/>
        <w:t xml:space="preserve">• CMD 9 diseases of the skin, subcutaneous tissues, and breasts  </w:t>
        <w:br/>
        <w:t xml:space="preserve">• CMD 10 endocrine, metabolic, and nutritional diseases  </w:t>
        <w:br/>
        <w:t xml:space="preserve">• CMD 11 diseases of the kidney and urinary tract  </w:t>
        <w:br/>
        <w:t xml:space="preserve">• CMD 12 diseases of the male genital system  </w:t>
        <w:br/>
        <w:t xml:space="preserve">• CMD 13 diseases of the female genital system  </w:t>
        <w:br/>
        <w:t xml:space="preserve">• CMD 14 pathological pregnancies, childbirth, and postpartum conditions  </w:t>
        <w:br/>
        <w:t xml:space="preserve">• CMD 15 newborns, premature infants, and conditions of the perinatal period  </w:t>
        <w:br/>
        <w:t xml:space="preserve">• CMD 16 diseases of the blood and hematopoietic organs  </w:t>
        <w:br/>
        <w:t xml:space="preserve">• CMD 17 myeloproliferative diseases and tumors of unspecified or diffuse sites  </w:t>
        <w:br/>
        <w:t xml:space="preserve">• CMD 18 infectious and parasitic diseases  </w:t>
        <w:br/>
        <w:t xml:space="preserve">• CMD 19 mental and behavioral disorders  </w:t>
        <w:br/>
        <w:t xml:space="preserve">• CMD 20 organic mental disorders related to drug use or induced by it  </w:t>
        <w:br/>
        <w:t xml:space="preserve">• CMD 21 injuries, allergies, and poisonings  </w:t>
        <w:br/>
        <w:t xml:space="preserve">• CMD 22 burns  </w:t>
        <w:br/>
        <w:t xml:space="preserve">• CMD 23 factors influencing health status and other reasons for using health services  </w:t>
        <w:br/>
        <w:t xml:space="preserve">• CMD 25 diseases due to HIV infection  </w:t>
        <w:br/>
        <w:t xml:space="preserve">• CMD 26 severe multiple injuries  </w:t>
        <w:br/>
        <w:t xml:space="preserve">• CMD 28 sessions  </w:t>
        <w:br/>
        <w:t>19. This segmentation allows for the distinction of all medical acts performed within hospital establishments according to both medical and functional criteria, taking into account.</w:t>
      </w:r>
    </w:p>
    <w:p>
      <w:r>
        <w:rPr>
          <w:b/>
        </w:rPr>
        <w:t>[Pages 7–9]</w:t>
      </w:r>
    </w:p>
    <w:p>
      <w:r>
        <w:t>the parts of the body treated, and economic factors, with stays or admissions classified in the same group involving the use of similar resources.</w:t>
      </w:r>
    </w:p>
    <w:p>
      <w:r>
        <w:t>20. Finally, a sub-segmentation of each MDC based on the presence or absence of a surgical procedure (hereinafter, "SP" in the presence of a surgical procedure and "NSP" in the absence of a surgical procedure) has also been considered. This sub-segmentation allows for a better understanding of the increased differentiation between public and private establishments, due to the greater specialization of private establishments in surgical activity.</w:t>
      </w:r>
    </w:p>
    <w:p>
      <w:r>
        <w:t>21. The competition authorities also questioned the existence of distinct markets, on the one hand, for home hospitalization services and, on the other hand, for the provision of dialysis care. However, regarding dialysis activities, it follows from European decision-making practice that this type of care cannot be distinguished from other comparable hospital care offerings. Furthermore, the Competition Authority considered a distinct segment of care services falling under MDC 28 (sessions), which includes dialysis care.</w:t>
      </w:r>
    </w:p>
    <w:p>
      <w:r>
        <w:t>22. In any event, the question of the exact definition of the markets for diagnostic and hospital care can be left open, insofar as the conclusions of the competitive analysis remain unchanged, regardless of the delineation adopted.</w:t>
      </w:r>
    </w:p>
    <w:p>
      <w:r>
        <w:t>2. ELECTIVE COSMETIC SURGERY</w:t>
      </w:r>
    </w:p>
    <w:p>
      <w:r>
        <w:t>23. The Social Security Code defines an elective cosmetic surgery activity, sometimes referred to as "comfort," distinct from diagnostics and hospital care, which gives rise to billing, without coverage by mandatory social security schemes.</w:t>
      </w:r>
    </w:p>
    <w:p>
      <w:r>
        <w:t>24. The Competition Authority considered that this market includes all activities of elective cosmetic surgery, whether performed within health establishments, autonomous cosmetic surgery centers, or in private practice.</w:t>
      </w:r>
    </w:p>
    <w:p>
      <w:r>
        <w:t>25. In any event, the question of the existence of a market for elective cosmetic surgery can be left open, insofar as the conclusions of the competitive analysis remain unchanged, regardless of the delineation adopted.</w:t>
      </w:r>
    </w:p>
    <w:p>
      <w:r>
        <w:t>B. GEOGRAPHICAL MARKETS</w:t>
      </w:r>
    </w:p>
    <w:p>
      <w:r>
        <w:t>1. THE PROVISION OF DIAGNOSTICS AND HOSPITAL CARE</w:t>
      </w:r>
    </w:p>
    <w:p>
      <w:r>
        <w:t>26. The European Commission estimates that the markets for the provision of diagnostics and hospital care can be of a local dimension, corresponding to areas accessible within thirty minutes by car.</w:t>
      </w:r>
    </w:p>
    <w:p>
      <w:r>
        <w:t>27. The Competition Authority, taking into account the regulatory instruments used by the ARS, considers that the markets for the provision of diagnostics and hospital care can be of local, departmental, or regional dimensions. This scope is particularly dependent on the specialty concerned. The Competition Authority has specifically noted that the size of the areas from which patients come can vary, not only depending on the establishment and the medical-surgical specialties practiced there but also based on the region considered, its population density, and its level of equipment in hospital care establishments. Finally, the coverage by health insurance of transportation costs incurred by certain patients tends to increase their willingness to travel for care.</w:t>
      </w:r>
    </w:p>
    <w:p>
      <w:r>
        <w:t>28. The Competition Authority thus examined, on a case-by-case basis, the travel times between the hospital care establishments of the parties to a concentration. It was notably able to observe that patients generally traveled for a time ranging from 30 minutes to one hour in the departments of Var, Aude, and Pas-de-Calais, as well as in the former Limousin region. Regarding the Île-de-France region, the Competition Authority considered it to constitute a unique geographical market. It noted, in fact, that it is characterized by very high patient mobility, particularly given the extensive offering of hospital care establishments and the existence of regional, if not national, attraction centers.</w:t>
      </w:r>
    </w:p>
    <w:p>
      <w:r>
        <w:t>29. In its decision-making practice, the Competition Authority first analyzed the effects of the operation at the regional level (in the sense of administrative regions prior to the adoption of the territorial reform law of 2015) and at the departmental level. Then, for the areas where, due to the concentration, the position of the new entity reached 50% in at least one market or segment defined above, the geographical delineation was refined to reflect the reality of the journeys made by patients. The competitive analysis was thus supplemented by examining the effects of the operation in areas corresponding to a thirty-minute and a one-hour travel radius by car around the target establishments, regardless of the region concerned.</w:t>
      </w:r>
    </w:p>
    <w:p>
      <w:r>
        <w:t>30. There is no reason to challenge the geographical definition of the markets for the provision of diagnostics and hospital care that has been retained in the aforementioned decision-making practice.</w:t>
      </w:r>
    </w:p>
    <w:p>
      <w:r>
        <w:t>31. In this case, the activities of the parties overlap at the levels of the former Haute-Normandie region and the departments of Seine-Maritime and Eure.</w:t>
      </w:r>
    </w:p>
    <w:p>
      <w:r>
        <w:t>2. ELECTIVE COSMETIC SURGERY</w:t>
      </w:r>
    </w:p>
    <w:p>
      <w:r>
        <w:t>32. The Competition Authority has retained at least a regional dimension for this market. Indeed, given the generally high price of elective cosmetic surgery operations (which includes hospitalization costs and practitioners' fees), the scheduled nature of the interventions, and the importance of practitioners' reputations, the distance that patients are willing to travel is longer than for diagnostic and hospital care procedures.</w:t>
      </w:r>
    </w:p>
    <w:p>
      <w:r>
        <w:t>33. In any event, the question of the exact definition of the market for elective cosmetic surgery can be left open, insofar as the conclusions of the competitive analysis remain unchanged, regardless of the delineation adopted.</w:t>
      </w:r>
    </w:p>
    <w:p>
      <w:r>
        <w:t>III. Competitive Analysis</w:t>
      </w:r>
    </w:p>
    <w:p>
      <w:r>
        <w:t>A. SPECIFICITIES OF THE HEALTH SECTOR</w:t>
      </w:r>
    </w:p>
    <w:p>
      <w:r>
        <w:t>1. CALCULATION OF THE POSITIONS OF HOSPITAL CARE FACILITY GROUPS</w:t>
      </w:r>
    </w:p>
    <w:p>
      <w:r>
        <w:t>34. To estimate the positions of the new entity in the markets for the provision of hospital care and diagnostics, the notifying party used the national public PMSI database of the ATIH, which compiles statistics from French health establishments. The positions were calculated based on the number of stays, in accordance with the decision-making practice of the Competition Authority.</w:t>
      </w:r>
    </w:p>
    <w:p>
      <w:r>
        <w:t>35. This method was applied to both private and public hospital care establishments.</w:t>
      </w:r>
    </w:p>
    <w:p>
      <w:r>
        <w:t>2. ANTICOMPETITIVE EFFECTS THAT MAY RESULT FROM AN EXCESSIVE CONCENTRATION OF THE PROVISION OF HOSPITAL CARE AND DIAGNOSTICS</w:t>
      </w:r>
    </w:p>
    <w:p>
      <w:r>
        <w:t>36. Health is a sector that presents very specific, sometimes complex, economic and regulatory operating modalities, in which the implementation of competition rules must be adapted to existing specificities. The forms of competition between health establishments and the assessment of the effect of their concentration on the functioning of unregulated markets have therefore been analyzed in light of the protection of patient welfare, as well as the interests of practitioners who offer their services to health establishments and the performance of the current regulatory system for hospital care and diagnostics in France, in accordance with the decision-making practice of the Competition Authority in this sector.</w:t>
      </w:r>
    </w:p>
    <w:p>
      <w:r>
        <w:t>a) Types of potential effects</w:t>
      </w:r>
    </w:p>
    <w:p>
      <w:r>
        <w:t>(i) Pricing effects</w:t>
      </w:r>
    </w:p>
    <w:p>
      <w:r>
        <w:t>37. The examination of the horizontal effects of a concentration in the sector of the provision of hospital care and diagnostics must take into account the specific mechanisms of price setting and the effects on competition by comparison that can be observed in the health sector, insofar as the activity-based pricing (T2A) system is based on a mechanism of competition by comparison, the effectiveness of which relies on the regulator's ability to have a sufficient number of comparison points to set prices based on the annual cost study conducted by the ATIH. However, in this case, the operation is not likely to produce such effects, given the limited impact of the operation on the comparison tools.</w:t>
      </w:r>
    </w:p>
    <w:p>
      <w:r>
        <w:rPr>
          <w:b/>
        </w:rPr>
        <w:t>[Pages 10–12]</w:t>
      </w:r>
    </w:p>
    <w:p>
      <w:r>
        <w:t>the existence of specific characteristics of the French healthcare system. Indeed, the tariffs for healthcare services provided by public and private establishments are regulated and set annually at the national level, within the framework of the activity-based pricing system (T2A). Each healthcare activity corresponds to a flat-rate tariff for the service that the establishment can charge. Healthcare establishments do not have the ability to deviate from these tariffs. Consequently, private clinics cannot, due to the applicable regulatory framework, unilaterally increase the tariff of the contracted care services they provide. These flat-rate tariffs concern the vast majority of healthcare services.</w:t>
      </w:r>
    </w:p>
    <w:p>
      <w:r>
        <w:t>38. The pricing of ancillary services (known as "hotel" services) is, however, freely determined by healthcare establishments. These services are defined in Article R. 162-27 of the Social Security Code and include: the private room supplement, accommodation and meals for companions, television, telephone, and exceptional services. An excessive concentration of healthcare establishments in a relevant geographical area is therefore likely to lead to an increase in the tariffs of these services, to the detriment of patients.</w:t>
      </w:r>
    </w:p>
    <w:p>
      <w:r>
        <w:t>39. The holding by the same group of market shares exceeding 50% in at least two MDCs is likely to encourage the new entity to raise the price of ancillary services. This analytical criterion, which also allows for the understanding of strong positions on the GAS, is consistent with the decision-making practice of the Competition Authority in the healthcare sector, where it has considered that holding a very strong position in a single MDC is not, by itself, constitutive of market power.</w:t>
      </w:r>
    </w:p>
    <w:p>
      <w:r>
        <w:t>(ii) Effects on the quality and diversity of services</w:t>
      </w:r>
    </w:p>
    <w:p>
      <w:r>
        <w:t>40. The ARS, which grant activity authorizations, carry out inspection-control missions regarding the conditions of installation and operation of healthcare activities that may lead to compliance orders, suspension, or withdrawal of authorization, under the conditions provided for in Article L. 6122-13 of the Public Health Code. Furthermore, the HAS conducts certification of healthcare establishments every four to six years, in order to assess the quality of services provided by hospitals and clinics in France. Thus, the possibility of degrading the quality of care itself following the operation appears limited by the existence of these safeguards.</w:t>
      </w:r>
    </w:p>
    <w:p>
      <w:r>
        <w:t>41. However, the Competition Authority considers that a company holding significant positions in at least two MDCs is likely to degrade the quality of the healthcare offer, being incentivized to reorganize its services among the establishments it owns. A hospital group may thus be encouraged to concentrate its activity in the MDCs generating the largest volumes of activity to achieve synergies. This reallocation of resources is likely to be carried out to the detriment of the MDCs in which the group's activity is the least significant, potentially leading to service closures, which would reduce the diversity of care offered to patients in the same geographical area.</w:t>
      </w:r>
    </w:p>
    <w:p>
      <w:r>
        <w:t>(iii) Conglomerate effects</w:t>
      </w:r>
    </w:p>
    <w:p>
      <w:r>
        <w:t>42. Healthcare authorizations are granted by the ARS and do not necessarily cover the MDCs. Some are related. Practitioners can distribute their activity among several establishments by primarily practicing in one establishment for one activity and secondarily in another establishment for a related activity. A concentration operation, by bringing together within the same group several related healthcare activity authorizations, is likely to encourage a hospital group to condition the possibility for practitioners primarily linked to a third establishment to exercise or continue exercising part of their activity within one of its establishments on the termination of the primary practice contract. This behavior would allow a hospital group, which holds strong positions linked to the holding of several activity authorizations, to "capture" practitioners from competing establishments, which is likely to threaten the attractiveness and viability of the latter and, ultimately, reduce the alternatives offered to patients in a given territory.</w:t>
      </w:r>
    </w:p>
    <w:p>
      <w:r>
        <w:t>B. HORIZONTAL EFFECTS</w:t>
      </w:r>
    </w:p>
    <w:p>
      <w:r>
        <w:t>1. THE OFFER OF HOSPITAL CARE AND DIAGNOSTICS</w:t>
      </w:r>
    </w:p>
    <w:p>
      <w:r>
        <w:t>43. In this case, the operation leads to overlaps in activity between the parties in Haute-Normandie and, more specifically, in the departments of Seine-Maritime and Eure.</w:t>
      </w:r>
    </w:p>
    <w:p>
      <w:r>
        <w:t>44. Indeed, Vivalto Santé is present in this region through five establishments: the clinic of Europe (76), the Mégival clinic (76), the Aubépines Mégival clinic (76), the Saint-Antoine clinic (76), and the private hospital Pasteur (27).</w:t>
      </w:r>
    </w:p>
    <w:p>
      <w:r>
        <w:t>45. MMD, for its part, holds in Haute-Normandie the Mathilde clinic (76), the Bergouignan clinic (27), and a radiotherapy center.</w:t>
      </w:r>
    </w:p>
    <w:p>
      <w:r>
        <w:t>At the level of the former Haute-Normandie region</w:t>
      </w:r>
    </w:p>
    <w:p>
      <w:r>
        <w:t>46. At the regional level, the cumulative market share of the parties is below 50% in the markets for the provision of diagnostics and hospital care, regardless of the segmentation adopted.</w:t>
      </w:r>
    </w:p>
    <w:p>
      <w:r>
        <w:t>47. Consequently, the operation is not likely to harm competition through horizontal effects in the market for the provision of diagnostics and hospital care at the level of Haute-Normandie.</w:t>
      </w:r>
    </w:p>
    <w:p>
      <w:r>
        <w:t>At the level of the Seine-Maritime department</w:t>
      </w:r>
    </w:p>
    <w:p>
      <w:r>
        <w:t>48. At the level of the Seine-Maritime department, the cumulative market share of the parties is below 50% in the markets for the provision of diagnostics and hospital care, regardless of the segmentation considered.</w:t>
      </w:r>
    </w:p>
    <w:p>
      <w:r>
        <w:t>49. Consequently, the operation is not likely to harm competition, through horizontal effects, in the market for the provision of hospital care and diagnostics in the Seine-Maritime department.</w:t>
      </w:r>
    </w:p>
    <w:p>
      <w:r>
        <w:t>50. Given these elements, and in accordance with the decision-making practice recalled in paragraph 29 of this decision, a local analysis around the Mathilde clinic is not justified in this case.</w:t>
      </w:r>
    </w:p>
    <w:p>
      <w:r>
        <w:t>At the level of the Eure department</w:t>
      </w:r>
    </w:p>
    <w:p>
      <w:r>
        <w:t>51. At the level of the Eure department, the activities of the parties overlap in the GAS medicine, surgery, and chemo-radiotherapy. In each of these GAS, the new entity will hold a market share of less than 50%.</w:t>
      </w:r>
    </w:p>
    <w:p>
      <w:r>
        <w:t>52. Regarding the MDCs, the cumulative market share of the parties is above 50% in two of them:</w:t>
        <w:br/>
        <w:t>MDC Vivalto MMD New</w:t>
        <w:br/>
        <w:t>Health entity</w:t>
        <w:br/>
        <w:t>2 (diseases of the eye) [30-40]% [30- [60-70]%</w:t>
        <w:br/>
        <w:t>40]%</w:t>
        <w:br/>
        <w:t>12 (diseases of the male genital system) [40-50]% [5-10]% [50-60]%</w:t>
      </w:r>
    </w:p>
    <w:p>
      <w:r>
        <w:t>53. Regarding the MDCs segmented by surgical procedure, the cumulative market share of the parties is above 50% in eight of them:</w:t>
        <w:br/>
        <w:t>MDC AO Vivalto MMD New</w:t>
        <w:br/>
        <w:t>Health entity</w:t>
        <w:br/>
        <w:t>1 (diseases of the nervous system) [20-30]% [30- [50-60]%</w:t>
        <w:br/>
        <w:t>40]%</w:t>
        <w:br/>
        <w:t>2 (diseases of the eye) [30-40]% [30- [60-70]%</w:t>
        <w:br/>
        <w:t>40]%</w:t>
        <w:br/>
        <w:t>3 (diseases of the ears, nose, throat, mouth, and teeth) [5-10]% [50- [60-70]%</w:t>
        <w:br/>
        <w:t>60]%</w:t>
        <w:br/>
        <w:t>5 (diseases of the circulatory system) [0-5]% [50- [50-60]%</w:t>
        <w:br/>
        <w:t>60]%</w:t>
        <w:br/>
        <w:t>9 (diseases of the skin, subcutaneous tissues, and breasts) [30-40]% [30- [60-70]%</w:t>
        <w:br/>
        <w:t>40]%</w:t>
        <w:br/>
        <w:t>11 (diseases of the kidney and urinary tract) [70-80]% [0-5]% [70-80]%</w:t>
        <w:br/>
        <w:t>12 (diseases of the male genital system) [50-60]% [5-10]% [60-70]%</w:t>
        <w:br/>
        <w:t>16 (diseases of the blood and hematopoietic organs) [10-20]% [40- [50-60]%</w:t>
        <w:br/>
        <w:t>50]%</w:t>
      </w:r>
    </w:p>
    <w:p>
      <w:r>
        <w:t>54. Regarding the MDCs segmented by non-surgical procedure, the cumulative market share of the parties is systematically below 50%.</w:t>
      </w:r>
    </w:p>
    <w:p>
      <w:r>
        <w:t>55. The cumulative market shares of the parties presented above should, however, be put into perspective.</w:t>
      </w:r>
    </w:p>
    <w:p>
      <w:r>
        <w:rPr>
          <w:b/>
        </w:rPr>
        <w:t>[Pages 13–15]</w:t>
      </w:r>
    </w:p>
    <w:p>
      <w:r>
        <w:t>56. The notifying party highlighted during the investigation the existence of significant patient leakage rates from residents of the Eure department to establishments located in other departments.</w:t>
      </w:r>
    </w:p>
    <w:p>
      <w:r>
        <w:t>57. As part of the investigation, the Authority requested from the ARS Normandie the patient leakage rates of residents in the Eure department to establishments located outside this department for each MDC. Regarding the MDCs on which the parties have a cumulative market share greater than 50%, the leakage rates are as follows:</w:t>
        <w:br/>
        <w:t>MDC Leakage Rate</w:t>
        <w:br/>
        <w:t>2 (diseases of the eye) 64.4%</w:t>
        <w:br/>
        <w:t>12 (diseases of the male genital system) 51.1%</w:t>
        <w:br/>
        <w:t>AO 1 (diseases of the nervous system) 79.1%</w:t>
        <w:br/>
        <w:t>AO 2 (diseases of the eye) 64.3%</w:t>
        <w:br/>
        <w:t>AO 3 (diseases of the ears, nose, throat, mouth, and teeth) 56%</w:t>
        <w:br/>
        <w:t>AO 5 (diseases of the circulatory system) 74%</w:t>
        <w:br/>
        <w:t>AO 9 (diseases of the skin, subcutaneous tissues, and breasts) 65.7%</w:t>
        <w:br/>
        <w:t>AO 11 (diseases of the kidney and urinary tract) 64.4%</w:t>
        <w:br/>
        <w:t>AO 12 (diseases of the male genital system) 53.5%</w:t>
        <w:br/>
        <w:t>AO 16 (diseases of the blood and hematopoietic organs) 71.7%</w:t>
      </w:r>
    </w:p>
    <w:p>
      <w:r>
        <w:t>58. Thus, the Eure department is characterized by very high leakage rates for each of the MDCs on which the cumulative market share of the parties exceeds 50%. These significant leakage rates are confirmed by the results of the market test. All competitors of the parties located in the Eure department who responded to the market test indicated that it is common for a patient residing in the Eure department to go to another department for care.</w:t>
      </w:r>
    </w:p>
    <w:p>
      <w:r>
        <w:t>59. In this regard, ARS Normandie informed the Authority that for 44.2% of them, patients residing in the Eure department go to the Seine-Maritime department for care.</w:t>
      </w:r>
    </w:p>
    <w:p>
      <w:r>
        <w:t>60. It follows from these elements that establishments located in the Eure department face significant competitive pressure from care establishments located in other departments, particularly in Seine-Maritime.</w:t>
      </w:r>
    </w:p>
    <w:p>
      <w:r>
        <w:t>61. This competitive pressure is likely to significantly limit the market power of the new entity in the Eure department, given the strong propensity of patients residing in the Eure to go to another department for care, in which the new entity will not hold a dominant position. Thus, after the operation, patients residing in the Eure department will continue to have alternatives to the new entity, both in this department and in other departments, notably the Seine-Maritime department.</w:t>
      </w:r>
    </w:p>
    <w:p>
      <w:r>
        <w:t>62. Consequently, the operation is not likely to harm competition, through horizontal effects, in the market for the provision of hospital care and diagnostics in the Eure department.</w:t>
      </w:r>
    </w:p>
    <w:p>
      <w:r>
        <w:t>63. In light of these elements, and based on the decision-making practice recalled in paragraph 29 of this decision, a local analysis around the Bergouignan clinic is not justified.</w:t>
      </w:r>
    </w:p>
    <w:p>
      <w:r>
        <w:t>2. ELECTIVE COSMETIC SURGERY</w:t>
      </w:r>
    </w:p>
    <w:p>
      <w:r>
        <w:t>64. The parties to the operation are marginally active in the market for elective cosmetic surgery, which represents less than [0-5]% of their revenue.</w:t>
      </w:r>
    </w:p>
    <w:p>
      <w:r>
        <w:t>65. According to estimates from Vivalto Santé, the cumulative market share of the parties is below 5%, both nationally and regionally.</w:t>
      </w:r>
    </w:p>
    <w:p>
      <w:r>
        <w:t>66. Therefore, the operation is not likely to harm competition, through horizontal effects, in the markets for elective cosmetic surgery.</w:t>
      </w:r>
    </w:p>
    <w:p>
      <w:r>
        <w:t>C. CONGLOMERATE EFFECTS</w:t>
      </w:r>
    </w:p>
    <w:p>
      <w:r>
        <w:t>67. A concentration has conglomerate effects when the new entity expands or strengthens its presence in several markets whose connection may allow it to increase its market power. Generally, such effects are analyzed when a concentration operation expands or strengthens the presence of a new entity in several distinct but related markets. These effects can also be analyzed when the strengthening of the position of a new entity occurs in the same market, but it is a market of sufficiently differentiated products so that, on the one hand, a leveraging effect can be exercised from one of them and, on the other hand, the same customers regularly purchase more than one product within this product range. While conglomerate concentrations can generally generate pro-competitive synergies, some may nonetheless produce restrictive competition effects when they allow for the technical or commercial linking of the sales or purchases of the components of the grouping in a way that locks the market and excludes competitors.</w:t>
      </w:r>
    </w:p>
    <w:p>
      <w:r>
        <w:t>68. The decision-making practice of competition authorities generally considers that a risk of conglomerate effect can be ruled out as long as the share of the entity resulting from the operation in the relevant markets does not exceed 30%.</w:t>
      </w:r>
    </w:p>
    <w:p>
      <w:r>
        <w:t>69. This type of effect could apply to the healthcare sector if one considers that hospital establishments compete to attract the "best" practitioners (in terms of reputation, competence, specialization, etc.) and that holding the only care authorization in the area for a given activity and a portfolio of related care authorizations can serve as leverage to condition a practitioner's practice in one establishment on the abandonment of their practice in a third hospital establishment. Such a strategy would have the effect of enhancing the reputation and volume of activity of a hospital establishment, to the detriment of other establishments located in the same territory, at the risk of excluding them. This capture of hospital practitioners is therefore likely, in the long term, to reduce the alternatives offered to patients in a relevant territory.</w:t>
      </w:r>
    </w:p>
    <w:p>
      <w:r>
        <w:t>70. At the level of the Seine-Maritime department, the operation does not result in the consolidation in Vivalto Santé's portfolio of an authorization not replicated by a competing establishment located in this department.</w:t>
      </w:r>
    </w:p>
    <w:p>
      <w:r>
        <w:t>71. At the level of the Eure department, the operation results in adding to Vivalto Santé's portfolio the authorizations for radiotherapy and interventional cardiology that MMD alone holds in this department. However, the notifying party indicated that none of the practitioners engaged in radiotherapy or interventional cardiology activities within MDD's establishments in the Eure department practice in a third establishment.</w:t>
      </w:r>
    </w:p>
    <w:p>
      <w:r>
        <w:t>72. Consequently, the operation is not likely to harm competition through conglomerate effects.</w:t>
      </w:r>
    </w:p>
    <w:p>
      <w:r>
        <w:t>D. THE RISK OF CREATING OR STRENGTHENING PURCHASING POWER</w:t>
      </w:r>
    </w:p>
    <w:p>
      <w:r>
        <w:t>73. A concentration operation can harm competition by strengthening purchasing power that places suppliers in a position of economic dependence.</w:t>
      </w:r>
    </w:p>
    <w:p>
      <w:r>
        <w:t>74. However, the notifying party estimates that the market share of the new entity in total hospital purchases in France is approximately [0-5]%, regardless of the segmentation considered for the supply markets of hospital establishments.</w:t>
      </w:r>
    </w:p>
    <w:p>
      <w:r>
        <w:t>75. Furthermore, many pharmaceutical or equipment suppliers are global groups, and therefore have significant economic weight in relation to the position of the new entity.</w:t>
      </w:r>
    </w:p>
    <w:p>
      <w:r>
        <w:t>76. Consequently, the operation is not likely to create or strengthen purchasing power, or to place suppliers in a state of economic dependence, in the relevant markets.</w:t>
      </w:r>
    </w:p>
    <w:p>
      <w:r>
        <w:rPr>
          <w:b/>
        </w:rPr>
        <w:t>[Pages 16–16]</w:t>
      </w:r>
    </w:p>
    <w:p>
      <w:r>
        <w:t xml:space="preserve">DECIDES  </w:t>
        <w:br/>
        <w:t xml:space="preserve">Article one: The operation notified under number 19-229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