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https://www.autoritedelaconcurrence.fr/fr/decision-de-controle-des-concentrations/relative-la-prise-de-controle-exclusif-du-groupe-maugin-par</w:t>
      </w:r>
    </w:p>
    <w:p>
      <w:r>
        <w:t>Pages translated : 2</w:t>
      </w:r>
    </w:p>
    <w:p/>
    <w:p>
      <w:r>
        <w:rPr>
          <w:b/>
        </w:rPr>
        <w:t>[Pages 1–2]</w:t>
      </w:r>
    </w:p>
    <w:p>
      <w:r>
        <w:t>FRENCH REPUBLIC</w:t>
        <w:br/>
        <w:t>Decision No. 22-DCC-173 of September 14, 2022</w:t>
        <w:br/>
        <w:t>regarding the exclusive control acquisition of the Maugin group by the company</w:t>
        <w:br/>
        <w:t>Au Creuset De La Thierache</w:t>
        <w:br/>
        <w:t>The Competition Authority,</w:t>
        <w:br/>
        <w:t>Having regard to the notification file submitted in full to the mergers department on August 23, 2022,</w:t>
        <w:br/>
        <w:t>concerning the exclusive control acquisition by the company Au Creuset De La Thierache of the Maugin group, formalized by a share transfer agreement dated August 2, 2022;</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Au Creuset De La Thierache of the Maugin group, active in the marketing of windows, doors, and shutters to professionals.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22-190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