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https://www.autoritedelaconcurrence.fr/fr/decision-de-controle-des-concentrations/relative-la-prise-de-controle-exclusif-du-groupe-maxicoffee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23-DCC-28 of February 20, 2023  </w:t>
        <w:br/>
        <w:t xml:space="preserve">regarding the exclusive control acquisition of the MaxiCoffee group by the  </w:t>
        <w:br/>
        <w:t xml:space="preserve">Lavazza group  </w:t>
        <w:br/>
        <w:t xml:space="preserve">The Competition Authority,  </w:t>
        <w:br/>
        <w:t xml:space="preserve">Having regard to the complete notification file submitted to the mergers department on February 1, 2023,  </w:t>
        <w:br/>
        <w:t xml:space="preserve">concerning the exclusive control acquisition of the company MaxiCoffee, the head company of the eponymous group, by the company Lavazza Luigi, the head company of the Lavazza group, via a newly created company, formalized by a unilateral purchase promise, signed on November 10, 2022;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operation consists of the exclusive control acquisition by the Lavazza group of the MaxiCoffee group, both primarily active in the coffee and food vending distribution sector. It constitutes a concentration operation within the meaning of Article L. 430-1 of the Commercial Code. Given the turnover achieved by the concerned companies,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Single Article: The operation notified under number 22-317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