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https://www.autoritedelaconcurrence.fr/fr/decision-de-controle-des-concentrations/relative-la-prise-de-controle-exclusif-du-groupe-maxiper</w:t>
      </w:r>
    </w:p>
    <w:p>
      <w:r>
        <w:t>Pages translated : 3</w:t>
      </w:r>
    </w:p>
    <w:p/>
    <w:p>
      <w:r>
        <w:rPr>
          <w:b/>
        </w:rPr>
        <w:t>[Pages 1–3]</w:t>
      </w:r>
    </w:p>
    <w:p>
      <w:r>
        <w:t xml:space="preserve">FRENCH REPUBLIC  </w:t>
        <w:br/>
        <w:t xml:space="preserve">Decision No. 010-DCC-72 of July 5, 2010  </w:t>
        <w:br/>
        <w:t xml:space="preserve">regarding the exclusive control of the Maxiper group by the company  </w:t>
        <w:br/>
        <w:t xml:space="preserve">Edmond de Rothschild Capital Partners  </w:t>
        <w:br/>
        <w:t xml:space="preserve">The Competition Authority,  </w:t>
        <w:br/>
        <w:t xml:space="preserve">Having regard to the notification file submitted in full to the merger service on June 15, 2010,  </w:t>
        <w:br/>
        <w:t xml:space="preserve">regarding the exclusive control of Maxiper SAS (hereinafter "Maxiper") by the management company Edmond de Rothschild Capital Partners, through the Edmond de Rothschild LBO Fund II (hereinafter "FCPR ER LBO Fund II") formalized by a firm offer letter dated May 27, 2010, signed by the future acquirer and countersigned by the sellers;  </w:t>
        <w:br/>
        <w:t xml:space="preserve">Having regard to Book IV of the Commercial Code relating to the freedom of prices and competition, and in particular its Articles L. 430-1 to L. 430-7;  </w:t>
        <w:br/>
        <w:t xml:space="preserve">Adopts the following decision:  </w:t>
        <w:br/>
        <w:t xml:space="preserve">I. The companies concerned and the operation  </w:t>
        <w:br/>
        <w:t xml:space="preserve">1. Edmond de Rothschild Capital Partners is the management company of the Edmond de Rothschild LBO Fund (hereinafter "FCPR ER LBO Fund") and FCPR ER LBO Fund II. The capital of this company is held 60% by Edmond de Rothschild Private Equity Partners, which groups the "private equity" activities of La Compagnie Financière Edmond de Rothschild Banque, of which it is a subsidiary holding 99.99%. The remainder of the capital of Edmond de Rothschild Capital Partners is equally distributed between Messrs. Erick X and Y, who also hold controlling interests in Valse Invest and EM Invest, companies that each aim to invest alongside the investment fund FCPR ER LBO Fund. These companies do not generate any turnover. La Compagnie Financière Edmond de Rothschild Banque, which engages in various banking activities, including private banking and collective management, is under the exclusive control of Compagnie Financière Saint Honoré (hereinafter "CFSH"), whose entire capital is held by Edmond de Rothschild Holding SA, itself directly and indirectly controlled by Mr. Benjamin de Rothschild and his family (hereinafter "the Rothschild group"). In 2009, the Rothschild group achieved a total consolidated worldwide turnover exceeding 353 million euros excluding taxes globally and exceeding 341 million euros in France.  </w:t>
        <w:br/>
        <w:t xml:space="preserve">2. The company Maxiper is a simplified joint-stock company that currently holds directly and indirectly 99.97% of the capital of BGME Finances SA, 100% of the capital of Pénélope SAS, and 99.997% of Marinvest SA. BGME Finances SA itself holds 100% of the capital of Delta Phone Assistance SAS. Marinvest SA itself holds 100% of the capital of FMS SARL and FIVA SARL as well as 34% of the capital of AR Conseil SAS. The Maxiper group is active in the business services sector. It notably offers companies the outsourcing of their physical and telephone reception functions, telephone services (management of corporate customer relationship centers and management of commercial telephone reception), commercial animation and sales promotion services, satisfaction surveys and studies. It is also active in the event management, marketing consulting, and temporary work sectors. As of December 31, 2009, the last closed financial year, the Maxiper group achieved a total consolidated worldwide turnover of approximately 78 million euros excluding taxes, of which 76 million euros were in France.  </w:t>
        <w:br/>
        <w:t xml:space="preserve">3. The operation consists of the exclusive control of the Maxiper group by Edmond de Rothschild Capital Partners, via the newly created company ERCP FIN 6. Indeed, at the conclusion of the operation, ERCP FIN 6 will hold 100% of the shares of Maxiper, which will itself directly and indirectly hold 100% of the capital of Pénélope SAS, Marinvest SA, and BGME Finances SA. The capital of ERCP FIN 6 will be predominantly held by FCPR LBO Fund II and thus by Edmond de Rothschild Capital Partners (81.8%), with the remainder held by Mr. Z (15%) and other minority shareholders (3.2%). The shareholders' agreement of ERCP FIN 6 specifies that the company will be equipped with a supervisory board composed of a majority of representatives appointed by Edmond de Rothschild Capital Partners. This committee will make strategic decisions regarding ERCP FIN 6 by a simple majority, such as the approval of the annual budget as well as the appointment and dismissal of the President of the company. Thus, Edmond de Rothschild Capital Partners, via FCPR LBO Fund II, will hold exclusive control of ERCP FIN 6 and therefore of the Maxiper group at the conclusion of the operation.  </w:t>
        <w:br/>
        <w:t xml:space="preserve">4. Insofar as it entails the exclusive control of the Maxiper group by Edmond de Rothschild Capital Partners, via FCPR ER LBO Fund II, the notified operation constitutes a concentration within the meaning of Article L. 430-1 of the Commercial Code. Given the turnover of the companies concerned, it does not have a community dimension. However, the control thresholds mentioned in point I of Article L. 430-2 of the Commercial Code are exceeded. This operation is therefore subject to the provisions of Articles L. 430-3 and following of the Commercial Code relating to economic concentration.  </w:t>
        <w:br/>
        <w:t xml:space="preserve">II. Competitive analysis  </w:t>
        <w:br/>
        <w:t xml:space="preserve">5. None of the companies currently held by the two venture capital funds managed by Edmond de Rothschild Capital Partners is active in the markets as described in paragraph 2 of this decision in which the Maxiper group is active, nor in markets that have vertical or related links with them. Furthermore, the parties have stated that the Rothschild group does not control any company active in these same markets.  </w:t>
        <w:br/>
        <w:t xml:space="preserve">6. Consequently, the notified operation is not likely to harm competition.  </w:t>
        <w:br/>
        <w:t xml:space="preserve">DECIDES  </w:t>
        <w:br/>
        <w:t xml:space="preserve">Sole Article: The operation notified under number 10-0090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