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https://www.autoritedelaconcurrence.fr/fr/decision-de-controle-des-concentrations/relative-la-prise-de-controle-exclusif-du-groupe-meccoli</w:t>
      </w:r>
    </w:p>
    <w:p>
      <w:r>
        <w:t>Pages translated : 9</w:t>
      </w:r>
    </w:p>
    <w:p/>
    <w:p>
      <w:r>
        <w:rPr>
          <w:b/>
        </w:rPr>
        <w:t>[Pages 1–3]</w:t>
      </w:r>
    </w:p>
    <w:p>
      <w:r>
        <w:t xml:space="preserve">FRENCH REPUBLIC  </w:t>
        <w:br/>
        <w:t xml:space="preserve">Decision No. 18-DCC-229 of December 28, 2018  </w:t>
        <w:br/>
        <w:t xml:space="preserve">regarding the exclusive control of the Meccoli group  </w:t>
        <w:br/>
        <w:t>by Eiffage Infrastructures</w:t>
      </w:r>
    </w:p>
    <w:p>
      <w:r>
        <w:t xml:space="preserve">The Competition Authority,  </w:t>
        <w:br/>
        <w:t xml:space="preserve">Having regard to the notification file submitted in full to the merger service on December 7, 2018,  </w:t>
        <w:br/>
        <w:t xml:space="preserve">regarding the exclusive control of the Meccoli group by Eiffage Infrastructures,  </w:t>
        <w:br/>
        <w:t xml:space="preserve">formalized by a memorandum of understanding dated September 21, 2018;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notifying party during the investigation;  </w:t>
        <w:br/>
        <w:t>Adopts the following decision:</w:t>
      </w:r>
    </w:p>
    <w:p>
      <w:r>
        <w:t xml:space="preserve">I. The companies concerned and the transaction  </w:t>
        <w:br/>
        <w:t xml:space="preserve">1. Eiffage Infrastructure SAS (hereinafter "Eiffage") is a 100% subsidiary of the Eiffage group. It is the operator of the infrastructure branch of the group, which also includes construction, energy systems, and concessions branches. It is active in carrying out public works related to the road, metal, and civil engineering sectors. In particular, in the field of civil engineering, Eiffage has entered the railway works sector since 2015, through the acquisition of the company Pichenot.  </w:t>
        <w:br/>
        <w:t xml:space="preserve">2. The Meccoli group (hereinafter "Meccoli") is structured around three entities: the company Audax, which is engaged in the acquisition, holding of shares, and management of the company Angelo Meccoli &amp; Cie, the company Angelo Meccoli &amp; Cie, owned by Audax, [Confidential], and the company Meccoli Elec, a 100% subsidiary of Angelo Meccoli &amp; Cie. Meccoli, through the companies Angelo Meccoli &amp; Cie and Meccoli Elec, is active in the public works markets for railway tracks.  </w:t>
        <w:br/>
        <w:t>1 This acquisition did not trigger a review by the Competition Authority under merger control.</w:t>
      </w:r>
    </w:p>
    <w:p>
      <w:r>
        <w:t xml:space="preserve">3. The transaction is formalized by a memorandum of understanding dated September 21, 2018, concerning the acquisition by Eiffage of 100% of the shares and voting rights of the companies Audax and Angelo Meccoli &amp; Cie and, indirectly, its subsidiary, the company Meccoli Elec. As it results in the exclusive control of Meccoli by the Eiffage group, the transaction constitutes a concentration within the meaning of Article L. 430-1 of the Commercial Code.  </w:t>
        <w:br/>
        <w:t>4. The companies concerned together achieve a total worldwide turnover excluding taxes of more than 150 million euros (Eiffage: approximately 15 billion euros for the fiscal year ending December 31, 2017; Meccoli: 110 million euros for the same fiscal year). These companies have achieved in France a turnover exceeding 50 million euros (Eiffage: 11.8 billion euros for the fiscal year ending December 31, 2017; Meccoli: 110 million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the relevant markets  </w:t>
        <w:br/>
        <w:t xml:space="preserve">5. The parties to the transaction are simultaneously active in the railway works sector.  </w:t>
        <w:br/>
        <w:t xml:space="preserve">6. The national decision-making practice of competition authorities has noted that the railway works sector is characterized by a significant number of production activities and service provisions constituting a value chain. It has thus made a distinction between several categories of service provisions, each constituting a distinct service market: the markets for the installation, renewal, and maintenance of railway tracks (i), power supply technologies (ii), installation of railway signaling equipment (iii), maintenance of railway tunnels (iv), civil engineering (v), and earthworks (vi). The decision-making practice has also considered, within each of these categories, potential sub-segmentations.  </w:t>
        <w:br/>
        <w:t xml:space="preserve">7. In this case, the markets primarily concerned by the transaction are those for the installation, renewal, and maintenance of railway tracks (A), power supply technologies (B), and installation of railway signaling equipment (C).  </w:t>
        <w:br/>
        <w:t xml:space="preserve">2 See notably C2007-22 / Letter from the Minister of Economy, Finance and Industry dated May 14, 2007, to the advisors of the company COLAS, regarding a concentration in the sector of installation and maintenance of railway tracks and C2007-20 / Letter from the Minister of Economy, Finance and Industry dated July 6, 2007, to the advisors of the company Vossloh Infrastructure Services, regarding a concentration in the sector of installation and maintenance of railway tracks, and the decision of the Competition Authority No. 11-DCC-135 of September 5, 2011, regarding the exclusive control of PPDC by NGE SAS.  </w:t>
        <w:br/>
        <w:t xml:space="preserve">3 See notably Opinion No. 01-A-08 of the Competition Council dated June 5, 2001, regarding the acquisition of the GTM group by the company Vinci, the aforementioned decisions C2007-22 and C2007-20, the decision of the Competition Authority No. 09-DCC-43 of September 14, 2009, regarding the acquisition of the companies Entreprise Malet and Entreprise Carceller by the company Spie Batignolles SA, and the aforementioned decision No. 11-DCC-135.  </w:t>
        <w:br/>
        <w:t>4 In the railway works sector, Eiffage is also active in the markets for civil engineering and earthworks, but any risk of conglomerate effect has been ruled out as these activities are not used simultaneously with the activities of installation, renewal, and maintenance of railway tracks, nor with those of power supply technologies or installation of railway signaling equipment. In any case, Eiffage holds limited positions in these markets (below 15%).</w:t>
      </w:r>
    </w:p>
    <w:p>
      <w:r>
        <w:t xml:space="preserve">A. MARKETS FOR THE INSTALLATION, RENEWAL, AND MAINTENANCE OF RAILWAY TRACKS  </w:t>
        <w:br/>
        <w:t xml:space="preserve">1. SERVICE MARKET  </w:t>
        <w:br/>
        <w:t xml:space="preserve">8. Decision-making practice has distinguished the activities of installation, renewal, and maintenance of railway tracks based on whether they concern railway tracks (i), metro (ii), tramway (iii), or branch terminal installations (iv), taking into account the differences related to the characteristics of the tracks on which the works are executed, the material and human resources necessary for carrying out the works, and the content of the required services.  </w:t>
        <w:br/>
        <w:t xml:space="preserve">9. A potential sub-segmentation of the market for the installation, renewal, and maintenance of railway tracks has been considered, depending on whether these works are carried out traditionally with low mechanization sites ("off suite") (i) or through highly mechanized sites, which implement substitute trains allowing for rapid yield ("fast track" sites) (ii). However, the question of the exact segmentation of these markets can be left open, as regardless of the delimitation retained, the conclusions of the competitive analysis remain unchanged.  </w:t>
        <w:br/>
        <w:t xml:space="preserve">10. In this case, the parties are simultaneously active in the "off suite" market.  </w:t>
        <w:br/>
        <w:t xml:space="preserve">2. GEOGRAPHIC MARKET  </w:t>
        <w:br/>
        <w:t>11. Decision-making practice has considered that the markets for the installation, renewal, and maintenance of railway tracks are of national dimension. There is no reason to challenge this delineation within the framework of the present decision.</w:t>
      </w:r>
    </w:p>
    <w:p>
      <w:r>
        <w:t xml:space="preserve">B. MARKETS FOR POWER SUPPLY TECHNOLOGIES  </w:t>
        <w:br/>
        <w:t xml:space="preserve">1. SERVICE MARKET  </w:t>
        <w:br/>
        <w:t xml:space="preserve">12. Services related to power supply technologies encompass all activities related to studies, electrification, installation, and rearrangement of catenary lines. Decision-making practice has defined catenary lines as "systems of electrical lines intended to supply trains with electrical energy through pantographs."  </w:t>
        <w:br/>
        <w:t xml:space="preserve">13. The question of a potential sub-segmentation of this market, particularly based on the type of services (design or installation) and the type of tracks (railway or tramway), has been left open.  </w:t>
        <w:br/>
        <w:t>14. In this case, the parties are simultaneously active in the market for the installation of catenaries on railway tracks.</w:t>
      </w:r>
    </w:p>
    <w:p>
      <w:r>
        <w:rPr>
          <w:b/>
        </w:rPr>
        <w:t>[Pages 4–6]</w:t>
      </w:r>
    </w:p>
    <w:p>
      <w:r>
        <w:t xml:space="preserve">2. GEOGRAPHIC MARKET  </w:t>
        <w:br/>
        <w:t xml:space="preserve">15. Decision-making practice has considered that the markets for power supply technologies have a national dimension. There is no reason to challenge this delineation within the framework of the present decision.  </w:t>
        <w:br/>
        <w:t xml:space="preserve">C. MARKETS FOR THE INSTALLATION OF RAILWAY SIGNALING EQUIPMENT  </w:t>
        <w:br/>
        <w:t xml:space="preserve">1. SERVICE MARKET  </w:t>
        <w:br/>
        <w:t xml:space="preserve">16. Decision-making practice has distinguished between the installation of railway signaling (i), the production and marketing of railway signaling (ii), and the design of signaling systems (iii), insofar as these three activities involve distinct operators and result in separate tenders.  </w:t>
        <w:br/>
        <w:t xml:space="preserve">17. In the market for the installation of railway signaling, practice has considered a distinction based on the type of railway track. However, the question of the exact segmentation of these markets may in this particular case be left open, insofar as, regardless of the delineation retained, the conclusions of the competitive analysis remain unchanged.  </w:t>
        <w:br/>
        <w:t xml:space="preserve">18. In this case, the parties are simultaneously active in the installation of railway signaling equipment on railway tracks.  </w:t>
        <w:br/>
        <w:t xml:space="preserve">2. GEOGRAPHIC MARKET  </w:t>
        <w:br/>
        <w:t xml:space="preserve">19. Decision-making practice has considered that the market for the installation of railway signaling equipment has a national dimension. There is no reason to challenge this delineation within the framework of the present decision.  </w:t>
        <w:br/>
        <w:t xml:space="preserve">III. Competitive Analysis  </w:t>
        <w:br/>
        <w:t xml:space="preserve">20. The transaction results in overlaps of activities between the parties in the markets for the installation, renewal, and maintenance of railway tracks, power supply technologies, and the installation of railway signaling equipment. These overlaps are likely to generate horizontal effects.  </w:t>
        <w:br/>
        <w:t xml:space="preserve">21. These markets are characterized by two aspects: on the one hand, they are monopsonies, with SNCF Réseau being the only client of the parties, and on the other hand, they operate through tenders. These two characteristics can lead, in the presence of sufficient alternative offers, to a countervailing power of demand that may offset the market power on the supply side.  </w:t>
        <w:br/>
        <w:t xml:space="preserve">A. MARKETS FOR THE INSTALLATION, RENEWAL, AND MAINTENANCE OF RAILWAY TRACKS  </w:t>
        <w:br/>
        <w:t xml:space="preserve">22. The markets for the installation, renewal, and maintenance of railway tracks are part of the large modernization plan for the network, which requires the implementation of large-scale projects, notably the development of "rapid suites," capital-intensive mechanized projects.  </w:t>
        <w:br/>
        <w:t xml:space="preserve">1. ESTIMATION OF THE PARTIES' POSITIONS  </w:t>
        <w:br/>
        <w:t xml:space="preserve">23. The notifying party estimates that the market share of the new entity in the markets for the installation, renewal, and maintenance of railway tracks would be below 20%, with a maximum increment of 5 points.  </w:t>
        <w:br/>
        <w:t xml:space="preserve">24. This analysis is based on the revenues generated in 2017 by the parties and their competitors, established from estimates by the notifying party.  </w:t>
        <w:br/>
        <w:t xml:space="preserve">Market shares of the concerned companies (based on revenues generated in 2017)  </w:t>
        <w:br/>
        <w:t xml:space="preserve">Installation Market, Renewal Market, Market for  </w:t>
        <w:br/>
        <w:t xml:space="preserve">Company of Tracks of Tracks Outside  </w:t>
        <w:br/>
        <w:t xml:space="preserve">Concerned Maintenance of Railway Tracks  </w:t>
        <w:br/>
        <w:t xml:space="preserve">Eiffage [0-5]% [0-5]% [0-5]%  </w:t>
        <w:br/>
        <w:t xml:space="preserve">Meccoli [5-10]% [10-20]% [5-10]%  </w:t>
        <w:br/>
        <w:t xml:space="preserve">New Entity [10-20]% [10-20]% [10-20]%  </w:t>
        <w:br/>
        <w:t xml:space="preserve">25. The new entity will face significant competitors in each of these markets, such as the companies Champenoise, Colas Rail, ETF, and Fourchard &amp; Renard.  </w:t>
        <w:br/>
        <w:t xml:space="preserve">2. ANALYSIS OF THE MARKET POWER OF THE NEW ENTITY  </w:t>
        <w:br/>
        <w:t xml:space="preserve">26. As the guidelines on merger control emphasize, regarding the specific case of tender markets, "the market shares of suppliers do not allow for a proper measurement of this aspect of competitive functioning: even if the market share of a losing operator at the end of a tender process remains modest, it is still capable of exerting significant competitive pressure on the contract holder upon its renewal." They further specify that "additional indicators can therefore be used. The competitive analysis may notably focus on the frequency with which the parties to the transaction meet during the same tender process, the likelihood of one party winning the tender depending on whether the other party is a candidate or not, the credibility of the competitors remaining in the market after the transaction, or the existence of factors likely to restrict their ability to stimulate competition."  </w:t>
        <w:br/>
        <w:t xml:space="preserve">27. In this case, market tests conducted with SNCF Réseau and the parties' competitors have helped to complete the analysis presented by the notifying party. The dynamic study of the meeting rates and victory rates of the companies has notably allowed for the characterization of the competitive structure of the tender markets for the installation, renewal, and maintenance of railway tracks and the effects of the concentration on these markets.  </w:t>
        <w:br/>
        <w:t xml:space="preserve">28. This type of analysis will be conducted only on the markets for "outside suite" projects, the only market segment where the parties have each won at least one tender since 2015, and where, consequently, the competitive intensity exerted on each other, prior to the transaction, is the strongest.  </w:t>
        <w:br/>
        <w:t xml:space="preserve">a) Participation of the parties: meeting rates  </w:t>
        <w:br/>
        <w:t xml:space="preserve">29. When companies bid on the same tenders, they are able to exert competitive pressure on each other. Significant meeting rates can thus serve as an indicator of strong competitive pressure between them.  </w:t>
        <w:br/>
        <w:t xml:space="preserve">30. In this case, across all tenders related to "outside suite" projects since 2015 (2 tenders per year, each consisting of 20 to 70 lots), Eiffage (notably through its subsidiary Pichenot) and Meccoli have met in less than 5% of the procedures.  </w:t>
        <w:br/>
        <w:t xml:space="preserve">31. It follows that the parties generally do not bid on the same tenders and, therefore, currently exert limited competitive pressure on each other.  </w:t>
        <w:br/>
        <w:t xml:space="preserve">b) Preferences of the demander: victory rates  </w:t>
        <w:br/>
        <w:t>32. The analysis of the victories of market operators since 2015 allows for the identification of credible competitors, who win a significant number of tenders related to outside suite projects. These include the companies Champenoise, Colas Rail, ETF, Fourchard &amp; Renard, Meccoli, and Eiffage/Pichenot.</w:t>
      </w:r>
    </w:p>
    <w:p>
      <w:r>
        <w:rPr>
          <w:b/>
        </w:rPr>
        <w:t>[Pages 7–9]</w:t>
      </w:r>
    </w:p>
    <w:p>
      <w:r>
        <w:t>Distribution of tenders won since 2015 in the "non-sequenced" construction market among the 6 main operators</w:t>
        <w:br/>
        <w:t>0-5 % 0-5 % 0-5 %</w:t>
        <w:br/>
        <w:t>10-15 %</w:t>
        <w:br/>
        <w:t>5-10 %</w:t>
        <w:br/>
        <w:t>15-20 %</w:t>
        <w:br/>
        <w:t>20-25 % 0-5 %</w:t>
        <w:br/>
        <w:t>5-10 %</w:t>
        <w:br/>
        <w:t>20-25 %</w:t>
        <w:br/>
        <w:t>5-10 %</w:t>
        <w:br/>
        <w:t>20-25 %</w:t>
        <w:br/>
        <w:t>0-5 %</w:t>
        <w:br/>
        <w:t>20-25 %</w:t>
        <w:br/>
        <w:t>10-15 %</w:t>
        <w:br/>
        <w:t>5-10 %</w:t>
        <w:br/>
        <w:t>15-20 %</w:t>
        <w:br/>
        <w:t>10-15 % 0-5 %</w:t>
        <w:br/>
        <w:t>5-10 % 25-30 %</w:t>
        <w:br/>
        <w:t>15-20 %</w:t>
        <w:br/>
        <w:t>10-15 %</w:t>
        <w:br/>
        <w:t>5-10 %</w:t>
        <w:br/>
        <w:t>2015 2016 2017 2018</w:t>
        <w:br/>
        <w:t>MECCOLI EIFFAGE (including PICHENOT) CHAMPENOISE COLAS RAIL ETF FOURCHARD (&amp; RENARD)</w:t>
        <w:br/>
        <w:t>33. Meccoli and Eiffage/Pichenot respond each year to tenders related to non-sequenced construction projects, and their respective win rates since 2015 indicate that they are significant operators in this market. However, the temporal analysis of win rates illustrates the dynamism of the main competitors in this market.</w:t>
        <w:br/>
        <w:t>34. In cases where the concerned companies ranked first and second (these cases allow for the definition of a "ranking rate"), it is possible to observe the effects that could result from the concentration. Indeed, the concentration removes the competitive pressure exerted by the second on the first, which is replaced by that of the third. It is therefore necessary to analyze the first and second ranking rates of the parties, and then the price gap between the second and third operators.</w:t>
        <w:br/>
        <w:t>35. First, in all tenders related to non-sequenced construction projects that have taken place since 2015 where Meccoli and Eiffage/Pichenot have competed, when Meccoli ranked first, Eiffage/Pichenot was ranked second in [10-20]% of the tenders. Conversely, when Eiffage/Pichenot was ranked first, Meccoli ranked second in [5-10]% of the tenders.</w:t>
        <w:br/>
        <w:t>36. Secondly, the investigation analyzed the price gap between the offers of the second and third ranks. In all the tenders in which the parties participated concurrently, the average observed price gap is limited (less than 3%). This price effect is observable in tenders of both low and high amounts, confirming the homogeneity of the sample.</w:t>
        <w:br/>
        <w:t>37. However, this price effect is only an indicator of the average price increase that may result from the transaction and remains dependent on the ability of the new entity to effectively implement a price increase. However, since the meeting rate between the parties is limited, as indicated in paragraph 30, the ability to implement potential increases appears weak, especially since it could, in any case, be countered by the counter-power exercised by SNCF Réseau.</w:t>
        <w:br/>
        <w:t>c) The counter-power of demand</w:t>
        <w:br/>
        <w:t>38. The elements of the file and the market tests conducted for the purposes of the investigation confirm the existence of a counter-power of demand, considered important by market players.</w:t>
        <w:br/>
        <w:t>39. SNCF Réseau is indeed the sole client in the non-sequenced construction market, which it allocates through tenders. Each bidder must therefore support its project before SNCF Réseau, which can negotiate the proposed financial conditions and thus exert additional pressure on prices.</w:t>
        <w:br/>
        <w:t>***</w:t>
        <w:br/>
        <w:t>40. It follows from all the above elements that the transaction is not likely to generate horizontal effects in the "non-sequenced" construction market and, more generally, in the markets for the installation, renewal, and maintenance of railway tracks.</w:t>
        <w:br/>
        <w:t>B. MARKETS FOR POWER SUPPLY TECHNOLOGIES</w:t>
        <w:br/>
        <w:t>41. Within these markets, the activities of the parties overlap in the installation of catenaries on railway tracks. In this segment, the market share of the new entity is less than 6% (Eiffage: [0-5]%, Meccoli: [0-5]%), with an increment of [0-5] points.</w:t>
        <w:br/>
        <w:t>42. Given the limited market shares, the transaction is not likely to generate horizontal effects in the markets for power supply technologies.</w:t>
        <w:br/>
        <w:t>C. MARKETS FOR THE INSTALLATION OF RAILWAY SIGNALING EQUIPMENT</w:t>
        <w:br/>
        <w:t>43. Within these markets, the activities of the parties overlap in the installation of railway signaling.</w:t>
        <w:br/>
        <w:t>44. In this segment, the market share of the new entity is less than 6% (Eiffage: [0-5]%; Meccoli: &lt; [0-5]%), with an increment of less than 1 point.</w:t>
        <w:br/>
        <w:t>45. Given the limited market shares, the transaction is not likely to generate horizontal effects in the markets for the installation of railway signaling equipment.</w:t>
        <w:br/>
        <w:t>DECIDES</w:t>
        <w:br/>
        <w:t>Sole Article: The transaction notified under number 18-251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