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https://www.autoritedelaconcurrence.fr/fr/decision-de-controle-des-concentrations/relative-la-prise-de-controle-exclusif-du-groupe-medeos-et</w:t>
      </w:r>
    </w:p>
    <w:p>
      <w:r>
        <w:t>Pages translated : 2</w:t>
      </w:r>
    </w:p>
    <w:p/>
    <w:p>
      <w:r>
        <w:rPr>
          <w:b/>
        </w:rPr>
        <w:t>[Pages 1–2]</w:t>
      </w:r>
    </w:p>
    <w:p>
      <w:r>
        <w:t xml:space="preserve">FRENCH REPUBLIC  </w:t>
        <w:br/>
        <w:t xml:space="preserve">Decision No. 21-DCC-200 of November 5, 2021  </w:t>
        <w:br/>
        <w:t xml:space="preserve">regarding the exclusive control acquisition of the Medeos group and the  </w:t>
        <w:br/>
        <w:t xml:space="preserve">company Clineo by the DomusVI group  </w:t>
        <w:br/>
        <w:t xml:space="preserve">The Competition Authority,  </w:t>
        <w:br/>
        <w:t xml:space="preserve">Having regard to the complete notification file sent to the mergers department on October 14, 2021,  </w:t>
        <w:br/>
        <w:t xml:space="preserve">concerning the exclusive acquisition of the Medeos group and the company Clineo by the DomusVI group,  </w:t>
        <w:br/>
        <w:t xml:space="preserve">formalized by two share transfer agreements dated July 30, 2021;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DomusVI group of the Medeos group and the company Clineo, which are active in the sector of long-term accommodation for autonomous and dependent elderly persons and the real estate services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1 It appears from the investigation that the operation will consist of (i) the acquisition of control over the entirety of the Medeos group and its subsidiaries, which also holds 19.99% of the company Clineo and (ii) the simultaneous purchase, also by the DomusVI group, of the remaining 80.01% of the share capital of the company Clineo. In application of Recital 20 of Regulation No. 139/2004 and points 77 and following of the guidelines of the Competition Authority relating to interdependent operations, this operation will be treated as a single operation due to the conditional link existing between these two operations.</w:t>
      </w:r>
    </w:p>
    <w:p>
      <w:r>
        <w:t xml:space="preserve">DECIDES  </w:t>
        <w:br/>
        <w:t xml:space="preserve">Single Article: The operation notified under number 21-181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