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https://www.autoritedelaconcurrence.fr/fr/decision-de-controle-des-concentrations/relative-la-prise-de-controle-exclusif-du-groupe-medi</w:t>
      </w:r>
    </w:p>
    <w:p>
      <w:r>
        <w:t>Pages translated : 10</w:t>
      </w:r>
    </w:p>
    <w:p/>
    <w:p>
      <w:r>
        <w:rPr>
          <w:b/>
        </w:rPr>
        <w:t>[Pages 1–3]</w:t>
      </w:r>
    </w:p>
    <w:p>
      <w:r>
        <w:t xml:space="preserve">FRENCH REPUBLIC  </w:t>
        <w:br/>
        <w:t xml:space="preserve">Decision No. 14-DCC-79 of June 11, 2014  </w:t>
        <w:br/>
        <w:t xml:space="preserve">regarding the exclusive control of the Médi-Partenaires group  </w:t>
        <w:br/>
        <w:t>by the Bridgepoint group</w:t>
      </w:r>
    </w:p>
    <w:p>
      <w:r>
        <w:t xml:space="preserve">The Competition Authority,  </w:t>
        <w:br/>
        <w:t xml:space="preserve">Having regard to the request for referral submitted on April 1, 2014, by the Bridgepoint group and the referral decision of the European Commission of April 28, 2014, made pursuant to Article 4, paragraph 4 of Council Regulation (EC) No. 139/2004;  </w:t>
        <w:br/>
        <w:t xml:space="preserve">Having regard to the complete notification file sent to the merger service on May 2, 2014, regarding the exclusive control of the Médi-Partenaires group by the Bridgepoint group, formalized by two acquisition contracts dated April 27, 2014;  </w:t>
        <w:br/>
        <w:t xml:space="preserve">Having regard to Book IV of the Commercial Code relating to price freedom and competition, and in particular Articles L. 430-1 to L. 430-10;  </w:t>
        <w:br/>
        <w:t xml:space="preserve">Having regard to the additional elements transmitted by the parties during the investigation;  </w:t>
        <w:br/>
        <w:t>Adopts the following decision:</w:t>
      </w:r>
    </w:p>
    <w:p>
      <w:r>
        <w:t xml:space="preserve">I. The concerned companies and the operation  </w:t>
        <w:br/>
        <w:t xml:space="preserve">1. The Bridgepoint company is part of a group of management companies controlled by the English private equity firm, Bridgepoint Advisors Group Limited, which manages funds on behalf of third-party investors. The main activities of the Bridgepoint group are financial investment, management of equity stakes in companies, and management of these companies. Bridgepoint thus controls the companies Médipôle Sud Santé, Diaverum, and C2S, which together comprise forty-seven healthcare establishments located, in particular, in the south of France. The Bridgepoint group is [confidential], with none of them able to exert a decisive influence over the company.  </w:t>
        <w:br/>
        <w:t xml:space="preserve">2. The Holding Médi-Partenaires company is the parent company of the Médi-Partenaires group. The Médi-Partenaires group manages healthcare establishments located in various departments of France. Prior to the present operation, the Médi-Partenaires group was exclusively controlled by LBO France.  </w:t>
        <w:br/>
        <w:t xml:space="preserve">3. The notified operation consists firstly in the acquisition of control of the company Médipôle Sud Santé and its subsidiaries by the Médi-Partenaires group, and secondly in the acquisition of control of the Holding Médi-Partenaires company and its subsidiaries by Bridgepoint. According to the suspensive conditions of the transfer agreements concluded by the parties on April 27, 2014, these two acquisitions are interdependent and therefore constitute a single concentration operation. Upon completion of the operation, Bridgepoint will hold the majority of the capital and voting rights of Médi-Partenaires, including veto rights over strategic decisions. Thus, as noted by the European Commission, the operation results in the exclusive control of Médi-Partenaires by Bridgepoint.  </w:t>
        <w:br/>
        <w:t xml:space="preserve">4. This operation falls under the competence of the European Union pursuant to Article 1, paragraph 2 of Council Regulation (EC) No. 139/2004 on concentrations. Indeed, the concerned companies have achieved a consolidated worldwide turnover of more than 5 billion euros (Bridgepoint: […] euros; Médi-Partenaires: […] euros for their financial years ending December 31, 2013). Furthermore, each of them has achieved a turnover in the European Union exceeding 250 million euros (Bridgepoint: […] euros, Médi-Partenaires: […] euros). Finally, only the Médi-Partenaires group has generated more than two-thirds of its community turnover in a single Member State, France.  </w:t>
        <w:br/>
        <w:t>5. However, on April 1, 2014, the Bridgepoint group requested the European Commission, through a reasoned memorandum, to refer the operation in its entirety to the Competition Authority, pursuant to Article 4, paragraph 4 of Regulation No. 139/2004 of the Council. By decision No. COMP/M.7221 - Bridgepoint Capital/Médi-Partenaires dated April 28, 2014, the European Commission considered that the conditions for referral were met. The exclusive control of the Médi-Partenaires group by the Bridgepoint group is therefore subject, pursuant to point IV of Article L. 430-2 of the Commercial Code, to French control of concentrations. The notification of the operation was sent to the Competition Authority on May 2, 2014.</w:t>
      </w:r>
    </w:p>
    <w:p>
      <w:r>
        <w:t xml:space="preserve">II. Definition of relevant markets  </w:t>
        <w:br/>
        <w:t xml:space="preserve">The operation involves an overlap of activities in the sector of providing diagnostics and care in healthcare establishments.  </w:t>
        <w:br/>
        <w:t xml:space="preserve">A. DEFINITION OF SERVICE MARKETS  </w:t>
        <w:br/>
        <w:t xml:space="preserve">6. Regarding the markets for the provision of diagnostics and hospital care in France, national and European decision-making practice considers that it is not relevant to distinguish the supply based on whether it comes from private or public establishments. Indeed, in France, the patient is free to choose their establishment, public or private, without economic consideration since the reimbursement of care does not depend on the status of the establishment where the care was provided. Moreover, the generalization of activity-based pricing and patients' use of complementary insurance tend to increase patients' freedom of choice regarding the establishment in which they wish to be treated. Furthermore, whether public or private, hospital establishments are intended to accommodate all patients, without economic or social consideration. Finally, all hospital establishments established in France are subject to a common regulatory and normative framework that defines the conditions for exercising their activity, regulated at the regional level by the Regional Health Agencies (hereinafter "ARS") with which they enter into contracts for objectives and means. The market test conducted as part of the investigation of the present operation validated the approach taken by decision-making practice.  </w:t>
        <w:br/>
        <w:t xml:space="preserve">7. However, competition authorities distinguish markets for the provision of diagnostics and hospital care by type of activity to take into account the strong specialization of practitioners and the services of hospital establishments, as well as the necessity for a hospital establishment to obtain specific authorizations from the ARS for the exercise of certain medical or surgical specialties. The practice has thus considered a broad segmentation by "groups of specialized activity" corresponding to the major disciplines defined by the Public Health Code (medicine, surgery, obstetrics, follow-up and rehabilitation care).  </w:t>
        <w:br/>
        <w:t>8. The Competition Authority has also considered a narrower segmentation of the markets for diagnostics and hospital care, by "major category of diagnosis" (hereinafter "CMD") according to the classification of procedures established by the ARS. The Competition Authority considered, while leaving the question open, that this segmentation could constitute a relevant level of segmentation since it allows for the distinction of all medical procedures performed within hospital establishments according to both medical and functional criteria, taking into account the parts of the body treated, and</w:t>
      </w:r>
    </w:p>
    <w:p>
      <w:r>
        <w:rPr>
          <w:b/>
        </w:rPr>
        <w:t>[Pages 4–6]</w:t>
      </w:r>
    </w:p>
    <w:p>
      <w:r>
        <w:t>l’établissement de santé privé Saint-Éloi.</w:t>
      </w:r>
    </w:p>
    <w:p>
      <w:r>
        <w:t>27. En conclusion, l’opération n’est pas susceptible de porter atteinte à la concurrence dans la région Aquitaine, tant au niveau régional qu’au niveau départemental, les parts de marché de la nouvelle entité restant modérées et inférieures à 25 % dans la majorité des segments concernés.</w:t>
      </w:r>
    </w:p>
    <w:p>
      <w:r>
        <w:t>C. EFFETS DE L’OPÉRATION EN LANGUEDOC-ROUSSILLON</w:t>
        <w:br/>
        <w:t>28. Dans la région Languedoc-Roussillon, le groupe Bridgepoint détient également un établissement de soins hospitaliers situé dans le département de l’Hérault. Le groupe Médi-Partenaire est présent dans cette région via 5 établissements de santé, dont 3 sont localisés dans l’Hérault.</w:t>
      </w:r>
    </w:p>
    <w:p>
      <w:r>
        <w:t>29. Au niveau régional, quelle que soit la segmentation retenue, les parts de marché de la nouvelle entité à l’issue de l’opération demeureront modérées et inférieures à 25 %.</w:t>
      </w:r>
    </w:p>
    <w:p>
      <w:r>
        <w:t>30. Au niveau du département, sur les différents marchés de l’offre de diagnostics et de soins hospitaliers segmentés par « groupes d’activité spécialisée », la position de la nouvelle entité dans l’Hérault demeurera inférieure à [10-20] % avec un incrément de part de marché compris selon les cas entre [0-5] % et [0-5] %.</w:t>
      </w:r>
    </w:p>
    <w:p>
      <w:r>
        <w:t>31. Si l’on retient une segmentation plus fine par catégorie majeure de diagnostic, la part de marché de la nouvelle entité au niveau départemental restera inférieure à 25 % pour l’ensemble des CMD sur lesquelles l’opération emporte un chevauchement, à l’exception des CMD suivantes incluant un acte opératoire : 3 (affections des oreilles, du nez, de la gorge, de la bouche et des dents), 5 (affections de l’appareil circulatoire), 8 (affections et traumatismes de l’appareil musculosquelettique et du tissu conjonctif), 11 (affections du rein et des voies urinaires), 12 (affections de l’appareil génital masculin), 13 (affections de l’appareil génital féminin) et 21 (traumatismes, allergies et empoisonnements).</w:t>
      </w:r>
    </w:p>
    <w:p>
      <w:r>
        <w:t>32. Pour les CMD 3, 5, 8, 11, 12 et 13, la position de la nouvelle entité demeurera modérée, comprise entre [20-30] % et [20-30] %. S’agissant en revanche de la CMD 21, la part de marché du groupe Bridgepoint atteindra [30-40] % une fois l’opération réalisée. Sur ce segment, l’incrément de part de marché est toutefois faible (inférieur à [0-5] %), les activités de Bridgepoint dans la CMD 21 étant marginales. Sur l’ensemble des marchés de l’offre de diagnostics et de soins, le groupe Bridgepoint restera par ailleurs confronté à la concurrence de nombreux opérateurs tels que le CHU de Montpellier, le centre hospitalier de Béziers ou l’établissement de santé privé Saint-Jean.</w:t>
      </w:r>
    </w:p>
    <w:p>
      <w:r>
        <w:t>33. En conclusion, l’opération n’est pas susceptible de porter atteinte à la concurrence dans la région Languedoc-Roussillon, tant au niveau régional qu’au niveau départemental, les parts de marché de la nouvelle entité restant modérées et inférieures à 25 % dans la majorité des segments concernés.</w:t>
      </w:r>
    </w:p>
    <w:p>
      <w:r>
        <w:rPr>
          <w:b/>
        </w:rPr>
        <w:t>[Pages 7–9]</w:t>
      </w:r>
    </w:p>
    <w:p>
      <w:r>
        <w:t>the hospital center of Libourne, the first two notably offering care in CMD 21.</w:t>
      </w:r>
    </w:p>
    <w:p>
      <w:r>
        <w:t>C. EFFECTS OF THE OPERATION IN PROVENCE-ALPES-CÔTE D’AZUR ("PACA")</w:t>
        <w:br/>
        <w:t>27. At the regional level, the market shares of the new entity following the operation will remain moderate, below 25%, regardless of the segmentation chosen.</w:t>
        <w:br/>
        <w:t>28. At the departmental level, the concentration results in an overlap of activities only in Var where the Bridgepoint group holds one establishment and the Médi-Partenaire group holds 5 health establishments.</w:t>
        <w:br/>
        <w:t>29. In the Var markets for the provision of diagnostics and hospital care segmented by "specialized activity groups," the parties are simultaneously active only in the segment of medicine with a combined market share estimated at [20-30]%.</w:t>
        <w:br/>
        <w:t>30. If a narrower segmentation by major diagnostic category is retained, the operation results in an overlap in CMD 28 (sessions including dialysis) outside of surgical procedures. In this segment, the market share of the new entity will reach [40-50]% ([20-30]% for Médi-Partenaire and [10-20]% for Bridgepoint). However, the new entity will still face competition from several operators active in CMD 28: the hospital center of Toulon (with a market share estimated at [10-20]%), the Sainte Marguerite clinic ([10-20]%), and the hospital center of Fréjus ([5-10]%). Furthermore, the respective establishments of the parties, although located in the same department, are relatively distant from each other. The activities of the target are primarily located in Toulon and its outskirts, while the activities of the acquirer are based in Draguignan, a city located about 1 hour and 15 minutes by car from Toulon. Thus, the information obtained during the investigation shows that the establishments of the parties are separated by a distance greater than that typically traveled by patients in this area. This observation tends to mitigate the competitive pressure that the establishments of the parties exerted on each other before the operation.</w:t>
      </w:r>
    </w:p>
    <w:p>
      <w:r>
        <w:t>D. EFFECTS OF THE OPERATION IN LANGUEDOC ROUSSILLON</w:t>
        <w:br/>
        <w:t>31. At the regional level, in the markets for the provision of diagnostics and hospital care segmented by "specialized activity groups," the market shares of the new entity following the operation will remain moderate, below [10-20]%. In narrower markets segmented by major diagnostic category, the market share of the new entity will be below 25% for all CMDs where the operation results in an overlap, except for the following CMDs including a surgical procedure: 11 (kidney and urinary tract disorders), 12 (male genital system disorders), and 23 (Factors influencing health status and other reasons for using health services).</w:t>
        <w:br/>
        <w:t>32. For CMDs 11 and 12, the position of the new entity will remain moderate, between [20-30]% and [20-30]%. However, regarding CMD 23, the market share of the Bridgepoint group will reach [30-40]% once the operation is completed. In this segment, the increment in market share is relatively low (below [0-5]%) and the Bridgepoint group will still face competition from several operators such as the CHU of Montpellier and the Polyclinique Saint Roche of Montpellier.</w:t>
      </w:r>
    </w:p>
    <w:p>
      <w:r>
        <w:t>33. In the markets for the provision of diagnostics and hospital care segmented by specialized activity groups, the parties are simultaneously active in the segments of surgery on the one hand and medicine on the other, with estimated combined market shares of [60-70]% ([30-40]% for Medi-Partenaires and [30-40]% for Bridgepoint) and [30-40]% ([5-10]% for Medi-Partenaires and [30-40]% for Bridgepoint).</w:t>
        <w:br/>
        <w:t>34. If a narrower segmentation by major diagnostic category is retained, the operation results in an overlap in almost all of the 28 CMDs listed by practice. The following table provides the position of the new entity on the CMDs (subdivided according to the presence or absence of a surgical procedure) for which the operation leads to an addition of market share giving the new entity more than 25% of the relevant markets:</w:t>
      </w:r>
    </w:p>
    <w:p>
      <w:r>
        <w:t>| CMD | Medi-Partenaires | Bridgepoint | Cumulative |</w:t>
        <w:br/>
        <w:t>|-----|------------------|-------------|------------|</w:t>
        <w:br/>
        <w:t>| CMD 01 AO | [10-20]% | [5-10]% | [20-30]% |</w:t>
        <w:br/>
        <w:t>| CMD 02 AO | [50-60]% | [40-50]% | [90-100]% |</w:t>
        <w:br/>
        <w:t>| CMD 03 AO | [20-30]% | [50-60]% | [80-90]% |</w:t>
        <w:br/>
        <w:t>| CMD 03 ANO | [0-5]% | [20-30]% | [20-30]% |</w:t>
        <w:br/>
        <w:t>| CMD 04 AO | [30-40]% | [10-20]% | [40-50]% |</w:t>
        <w:br/>
        <w:t>| CMD 05 AO | [30-40]% | [30-40]% | [60-70]% |</w:t>
        <w:br/>
        <w:t>| CMD 05 ANO | [0-5]% | [20-30]% | [20-30]% |</w:t>
        <w:br/>
        <w:t>| CMD 06 AO | [20-30]% | [20-30]% | [50-60]% |</w:t>
        <w:br/>
        <w:t>| CMD 06 ANO | [20-30]% | [30-40]% | [50-60]% |</w:t>
        <w:br/>
        <w:t>| CMD 07 AO | [20-30]% | [20-30]% | [50-60]% |</w:t>
        <w:br/>
        <w:t>| CMD 07 ANO | [5-10]% | [20-30]% | [20-30]% |</w:t>
        <w:br/>
        <w:t>| CMD 08 AO | [20-30]% | [20-30]% | [40-50]% |</w:t>
        <w:br/>
        <w:t>| CMD 09 AO | [20-30]% | [30-40]% | [60-70]% |</w:t>
        <w:br/>
        <w:t>| CMD 10 AO | [10-20]% | [30-40]% | [50-60]% |</w:t>
        <w:br/>
        <w:t>| CMD 11 AO | [40-50]% | [30-40]% | [80-90]% |</w:t>
        <w:br/>
        <w:t>| CMD 11 ANO | [20-30]% | [20-30]% | [40-50]% |</w:t>
        <w:br/>
        <w:t>| CMD 12 AO | [30-40]% | [40-50]% | [80-90]% |</w:t>
        <w:br/>
        <w:t>| CMD 12 ANO | [20-30]% | [20-30]% | [40-50]% |</w:t>
        <w:br/>
        <w:t>| CMD 13 AO | [10-20]% | [30-40]% | [50-60]% |</w:t>
        <w:br/>
        <w:t>| CMD 13 ANO | [10-20]% | [20-30]% | [30-40]% |</w:t>
        <w:br/>
        <w:t>| CMD 16 AO | [30-40]% | [5-10]% | [40-50]% |</w:t>
        <w:br/>
        <w:t>| CMD 16 ANO | [0-5]% | [40-50]% | [40-50]% |</w:t>
        <w:br/>
        <w:t>| CMD 17 AO | [20-30]% | [20-30]% | [50-60]% |</w:t>
        <w:br/>
        <w:t>| CMD 21 AO | [30-40]% | [20-30]% | [60-70]% |</w:t>
        <w:br/>
        <w:t>| CMD 23 AO | [20-30]% | [20-30]% | [40-50]% |</w:t>
        <w:br/>
        <w:t>| CMD 23 ANO | [5-10]% | [20-30]% | [30-40]% |</w:t>
        <w:br/>
        <w:t>| CMD 28 ANO | [0-5]% | [40-50]% | [40-50]% |</w:t>
      </w:r>
    </w:p>
    <w:p>
      <w:r>
        <w:t>35. Upon completion of the operation, the Bridgepoint group will hold a market share exceeding 50% in several major diagnostic categories. For certain CMDs, its position will exceed [70-80]% (CMD 211 (AO), 312 (AO), 11 (AO), and 12 (AO)).</w:t>
        <w:br/>
        <w:t>36. The notifying party observes, however, that in Aude, the establishments of the parties in question do not constitute close competitors as they belong to significantly different population pools. The establishment of Médi-Partenaires is located in Carcassonne, while the establishments of Médipôle Sud Santé are in Narbonne, which impacts the attendance of patients located outside the pool of the concerned establishment.</w:t>
        <w:br/>
        <w:t>37. To support its observations, the Bridgepoint group provided the patient leakage rate between the Carcassonne basin and the Narbonne basin. This rate, below [0-5]%, is low and thus reflects a strong separation between the two territories. The notifying party also provided the leakage rates outside their department for patients residing in Aude, segmented by specialized activity groups. From these data, it appears that a significant portion of patients from Aude seek treatment in neighboring departments (Haute Garonne, Hérault, and Pyrénées Orientales). The estimated leakage rate thus reaches [30-40]% for surgical activity (with AO) and [20-30]% for medical activity.</w:t>
        <w:br/>
        <w:t>38. To more accurately reflect the reality of the choices made by patients regarding care establishments, the notifying party provided new market share estimates calculated based on territories centered on the target establishment on one hand (territory "Carcassonne-Midi Pyrénées") and the acquirer's establishments on the other hand (territory "Narbonne-Hérault"). The radius of the areas thus defined corresponds to a driving distance of up to one hour, which is consistent with the results of the market test. The selected territories include some neighboring establishments outside of Aude but not belonging to this department, such as the CHR of Toulouse (located just under an hour from Carcassonne via the A61 motorway) and the CHU of Montpellier (located just under an hour from Carcassonne via the A9 motorway). The market test indeed confirmed, as previously noted by decision-making practice, that the average distance traveled by patients to reach a care establishment significantly increases depending on the nature of that establishment. Notably, the maximum distance a patient is willing to travel is greater for a university hospital center (CHU) than for another establishment. One of the operators surveyed noted that "due to the credibility of CHUs in terms of competence and technicality," their attractiveness is significant.</w:t>
        <w:br/>
        <w:t>39. The estimated market shares for the two identified care territories, calculated for each of the CMDs where the operation results in an overlap (subdivided according to the presence or absence of a surgical procedure), do not exceed [10-20]%. In these territories, the new entity indeed faces competition from several significant establishments, both public (CHR of Toulouse and CHU of Montpellier in particular) and private (Clinique Beau Soleil, Polyclinique Saint-Jean, Nouvelle Clinique de l’Union in particular).</w:t>
        <w:br/>
        <w:t>40. Furthermore, as indicated above, the tariffs for care services are regulated and set at the national level. Consequently, private clinics cannot significantly increase the tariffs for the care they provide.</w:t>
      </w:r>
    </w:p>
    <w:p>
      <w:r>
        <w:t>E. CONCLUSIONS</w:t>
        <w:br/>
        <w:t>41. In light of the above, the operation is not likely to harm competition through horizontal effects in the markets for the provision of diagnostics and hospital care.</w:t>
      </w:r>
    </w:p>
    <w:p>
      <w:r>
        <w:rPr>
          <w:b/>
        </w:rPr>
        <w:t>[Pages 10–10]</w:t>
      </w:r>
    </w:p>
    <w:p>
      <w:r>
        <w:t xml:space="preserve">DECIDES  </w:t>
        <w:br/>
        <w:t xml:space="preserve">Sole Article: The operation notified under number 14-052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