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https://www.autoritedelaconcurrence.fr/fr/decision-de-controle-des-concentrations/relative-la-prise-de-controle-exclusif-du-groupe-medisup</w:t>
      </w:r>
    </w:p>
    <w:p>
      <w:r>
        <w:t>Pages translated : 2</w:t>
      </w:r>
    </w:p>
    <w:p/>
    <w:p>
      <w:r>
        <w:rPr>
          <w:b/>
        </w:rPr>
        <w:t>[Pages 1–2]</w:t>
      </w:r>
    </w:p>
    <w:p>
      <w:r>
        <w:t>FRENCH REPUBLIC</w:t>
        <w:br/>
        <w:t>Decision No. 21-DCC-100 of June 21, 2021</w:t>
        <w:br/>
        <w:t>regarding the exclusive control acquisition of the Médisup group by</w:t>
        <w:br/>
        <w:t>Stirling Square Capital Partners Jersey AIFM Limited</w:t>
        <w:br/>
        <w:t>The Competition Authority,</w:t>
        <w:br/>
        <w:t>Having regard to the complete notification file submitted to the mergers department on June 3, 2021, concerning the exclusive control acquisition of the Médisup group by Stirling Square Capital Partners Jersey AIFM Limited, materialized by a share transfer agreement dated March 17, 2021;</w:t>
        <w:br/>
        <w:t>Having regard to Book IV of the Commercial Code relating to the freedom of prices and competition, and in particular its Articles L. 430-1 to L. 430-7;</w:t>
        <w:br/>
        <w:t>Adopts the following decision:</w:t>
        <w:br/>
        <w:t>1. The notified operation consists of the exclusive control acquisition by Stirling Square Capital Partners Jersey AIFM Limited of the Médisup group active in the field of preparation for competitive exams and health studies.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21-102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