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https://www.autoritedelaconcurrence.fr/fr/decision-de-controle-des-concentrations/relative-la-prise-de-controle-exclusif-du-groupe-menoux-par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25-DCC-200 of August 28, 2025  </w:t>
        <w:br/>
        <w:t xml:space="preserve">regarding the exclusive control acquisition of the Menoux group  </w:t>
        <w:br/>
        <w:t>by the Dubreuil group</w:t>
      </w:r>
    </w:p>
    <w:p>
      <w:r>
        <w:t xml:space="preserve">The Competition Authority,  </w:t>
        <w:br/>
        <w:t xml:space="preserve">Having regard to the complete notification file sent to the mergers department on August 12, 2025,  </w:t>
        <w:br/>
        <w:t xml:space="preserve">concerning the exclusive control acquisition of the Menoux group by the Dubreuil group, formalized by  </w:t>
        <w:br/>
        <w:t xml:space="preserve">an offer under suspensive conditions signed on March 25,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acquisition, by the Dubreuil group, via the company  </w:t>
        <w:br/>
        <w:t xml:space="preserve">Clara Automobiles, of all the shares and voting rights of the Société Landaise de  </w:t>
        <w:br/>
        <w:t xml:space="preserve">Commerce Auto, of the company Dax Auto, and of the company Automobiles Dacquoise Saad, which  </w:t>
        <w:br/>
        <w:t xml:space="preserve">together form the Menoux group. These companies are engaged in the business of  </w:t>
        <w:br/>
        <w:t xml:space="preserve">automobile dealership for certain brands (Peugeot, Citroën, and DS) of the Stellantis group in Mées (40), Cap Breton (40), Soustons (40), Langon (33), and Béguey (33). This  </w:t>
        <w:br/>
        <w:t xml:space="preserve">operation constitutes a concentration within the meaning of Article L. 430-1 of the Commercial Code.  </w:t>
        <w:br/>
        <w:t xml:space="preserve">Given the turnover generated by the companies concerned, the operation does not fall  </w:t>
        <w:br/>
        <w:t xml:space="preserve">under the jurisdiction of the European Union. On the other hand, the control thresholds mentioned  </w:t>
        <w:br/>
        <w:t xml:space="preserve">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25-193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