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https://www.autoritedelaconcurrence.fr/fr/decision-de-controle-des-concentrations/relative-la-prise-de-controle-exclusif-du-groupe-mertz-par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24-DCC-250 of November 28, 2024  </w:t>
        <w:br/>
        <w:t xml:space="preserve">regarding the exclusive control acquisition of the Mertz group by the  </w:t>
        <w:br/>
        <w:t xml:space="preserve">EB Trans group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13, 2024, concerning the exclusive control acquisition of the Mertz group by the  </w:t>
        <w:br/>
        <w:t xml:space="preserve">EB Trans group, formalized by a unilateral purchase promise signed on October 15,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transaction consists of the acquisition of 100% of the shares, except for 30 shares, and  </w:t>
        <w:br/>
        <w:t xml:space="preserve">the voting rights of Episcope Finance, the parent company of the Mertz group, by the EB Trans group,  </w:t>
        <w:br/>
        <w:t xml:space="preserve">through its subsidiary EB Trans France Transport et Service. The parties are simultaneously  </w:t>
        <w:br/>
        <w:t xml:space="preserve">active in the road transport of goods sector. The transaction constitutes a  </w:t>
        <w:br/>
        <w:t xml:space="preserve">concentration within the meaning of Article L. 430-1 of the Commercial Code. Given the turnover  </w:t>
        <w:br/>
        <w:t xml:space="preserve">achieved by the concerned companies, the transaction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This transaction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transaction is not likely to harm competition  </w:t>
        <w:br/>
        <w:t>in the relevant markets.</w:t>
      </w:r>
    </w:p>
    <w:p>
      <w:r>
        <w:t xml:space="preserve">DECIDES  </w:t>
        <w:br/>
        <w:t xml:space="preserve">Sole Article: The transaction notified under number 24-252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