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https://www.autoritedelaconcurrence.fr/fr/decision-de-controle-des-concentrations/relative-la-prise-de-controle-exclusif-du-groupe-metrobus</w:t>
      </w:r>
    </w:p>
    <w:p>
      <w:r>
        <w:t>Pages translated : 4</w:t>
      </w:r>
    </w:p>
    <w:p/>
    <w:p>
      <w:r>
        <w:rPr>
          <w:b/>
        </w:rPr>
        <w:t>[Pages 1–3]</w:t>
      </w:r>
    </w:p>
    <w:p>
      <w:r>
        <w:t xml:space="preserve">RÉPUBLIQUE FRANÇAISE  </w:t>
        <w:br/>
        <w:t xml:space="preserve">Decision No. 16-DEX-01 of January 21, 2016  </w:t>
        <w:br/>
        <w:t xml:space="preserve">regarding the exclusive control of the Metrobus group by the JCDecaux group  </w:t>
        <w:br/>
        <w:t xml:space="preserve">The Competition Authority,  </w:t>
        <w:br/>
        <w:t xml:space="preserve">Having regard to the notification file submitted in full to the concentrations service on November 23, 2015, regarding the exclusive control by JCDecaux SA of the Régie Publicitaire des Transports Parisiens Metrobus Publicité SA, formalized by the signing of a principle agreement dated April 13, 2015, and then by the signing of a protocol for exclusive negotiations on October 16, 2015;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 xml:space="preserve">Having regard to the other documents in the file;  </w:t>
        <w:br/>
        <w:t xml:space="preserve">Adopts the following decision:  </w:t>
        <w:br/>
        <w:t xml:space="preserve">1. JCDecaux SA is the company at the head of the JCDecaux group (hereinafter, "JCDecaux"). JCDecaux SA is 64.98% owned by the Decaux family, directly at 1.31% and indirectly at 63.67% through the company JCDecaux Holding. The remainder of the capital of JCDecaux SA is held by the public. The JCDecaux group is active in the outdoor advertising sector through three main activities: (i) advertising on street furniture, (ii) advertising in transport (public transport and airports), and (iii) large format advertising. JCDecaux is the world leader in outdoor advertising, being present in more than 60 countries and 3,700 cities.  </w:t>
        <w:br/>
        <w:t xml:space="preserve">2. In France, JCDecaux SA holds the entire capital of the companies JCDecaux France and JCDecaux France Holding. JCDecaux France defines and implements the commercial strategy for most of the JCDecaux group's activities in France. JCDecaux France Holding holds controlling stakes in the company Sopact, responsible for responding to the City of Paris's calls for tenders regarding bus shelters, in the company Somupi, responsible for responding to calls for tenders for street furniture for information in Paris, and in the company Mediakiosk, responsible for responding to calls for tenders from cities for the supply and maintenance of newspaper kiosks. Finally, JCDecaux SA holds a minority stake in the company Metrobus.  </w:t>
        <w:br/>
        <w:t xml:space="preserve">3. The Régie Publicitaire des Transports Parisiens Metrobus Publicité SA (hereinafter, "Metrobus") is active in the outdoor advertising sector. It markets advertising spaces to advertisers located in subways, buses, trams, and stations in Paris and in several provincial cities. The capital of Metrobus is held 67% by the company Publicis, through a direct stake of 32.3% and an indirect stake of 34.7% held by its subsidiary Medias &amp; Régies Europe. JCDecaux holds 33% of the capital of Metrobus.  </w:t>
        <w:br/>
        <w:t xml:space="preserve">4. Metrobus directly manages the advertising space operations in the subway, bus, and tram networks. Through its subsidiaries MediaGare and MediaRail, both held at 99.9%, it also operates the advertising space management for the so-called "in-station" domain of the Société Nationale des Chemins de Fer ("SNCF", now "SNCF Mobilités") and Réseau Ferré de France ("RFF", now "SNCF Réseau"). Metrobus, MediaGare, and MediaRail are grouped within an economic interest grouping named Media Transports. Finally, the Société Métropolitaine de Publicité et d'Affichage (hereinafter, "SMPA"), 100% owned by Metrobus, is responsible for the placement of posters on behalf of its parent company.  </w:t>
        <w:br/>
        <w:t xml:space="preserve">5. The operation, formalized by the signing of a principle agreement dated April 13, 2015, and then by the signing of a protocol for exclusive negotiations on October 16, 2015, consists of the acquisition by JCDecaux, a non-controlling minority shareholder, of the stake in the capital of Metrobus held by Publicis. At the conclusion of the operation, JCDecaux will hold the entirety of the capital and voting rights of Metrobus.  </w:t>
        <w:br/>
        <w:t xml:space="preserve">6. Insofar as it results in the exclusive control of Metrobus by JCDecaux, the notified operation constitutes a concentration within the meaning of Article L. 430-1 of the Commercial Code.  </w:t>
        <w:br/>
        <w:t xml:space="preserve">7. The companies concerned together achieve a total worldwide turnover of more than 150 million euros (JCDecaux: 2.8 billion euros for the fiscal year ending December 31, 2014; Metrobus: […] euros for the same fiscal year). Each of these companies achieved, in France, a turnover exceeding 50 million euros (JCDecaux: 621.3 million euros for the fiscal year ending December 31, 2014; Metrobus: […] euros for the same fiscal year).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8. The examination provided for in I of Article L. 430-5 of the Commercial Code, which has been conducted, raises serious doubts about the impact on competition in the downstream market of outdoor advertising, the upstream market of operating advertising panels in transport networks, and the upstream market of supplying advertising street furniture.  </w:t>
        <w:br/>
        <w:t xml:space="preserve">9. First, the operation is likely to pose risks to competition through horizontal effects in the downstream market of outdoor advertising. As it involves the merger of two major operators in the downstream outdoor advertising market, the operation would lead to the creation of the first market player, present across all different types of outdoor advertising (advertising on street furniture, in transport, and in large format). JCDecaux is indeed the leading French billboard company thanks to a network composed of advertising faces located both on street furniture, a type of display for which it holds a leading position, on large format panels, and on panels in airports. Metrobus, for its part, is the second or third operator in the outdoor advertising market, according to estimates. It holds a leading position in transport advertising through the commercialization of advertising faces located in subways, buses, trams, and stations, in Paris, the Paris suburbs, and several provincial cities.  </w:t>
        <w:br/>
        <w:t xml:space="preserve">10. Thus, at the conclusion of the operation, the new entity would be the first operator in the national outdoor advertising market. Its market share in value would be between [40-50]% and [60-70]% according to the estimation methods used, representing a [confidential] times higher position than that of its closest competitor, Clear Channel.  </w:t>
        <w:br/>
        <w:t xml:space="preserve">11. The operation also leads to significant overlaps in activities across several local markets. In particular, it would result in the new entity holding a quasi-monopoly in the outdoor advertising market in Paris. In this area, the combined market share of the parties would reach 70% in terms of the number and surface area of available faces according to the parties' estimates, and even 90% according to competitors' estimates. The operation would also lead to a significant strengthening of the parties' position in several major provincial agglomerations (notably in Besançon, Clermont-Ferrand, Lorient, Metz, Mulhouse, Poitiers, Saint-Etienne, and Toulouse). The new entity could thus exert its market power over local advertisers in Paris and in several major provincial cities.  </w:t>
        <w:br/>
        <w:t xml:space="preserve">12. Furthermore, given (i) the strong presence of the new entity in the capital, a city particularly important in the communication strategy of national advertisers, (ii) the unmatched density of its network in many large French agglomerations, and (iii) its mastery of all types of outdoor advertising, the new entity would become essential for national advertisers. Indeed, no other competitor would be able to replicate its offer at the national level, both in terms of the breadth of the range of advertising panels and the geographical extent of the network.  </w:t>
        <w:br/>
        <w:t xml:space="preserve">13. Secondly, due to this breadth of range and the geographical extent of the new entity's assets, it would be able to implement certain bundling mechanisms by linking the purchase of advertising faces located on sought-after assets or territories to the purchase of advertising faces located on less attractive assets or territories. Such leverage effects would not be replicable by competitors, as they do not have a range as wide in terms of types of displays and locations.  </w:t>
        <w:br/>
        <w:t>14. Thirdly, there is an interdependence relationship between (i) the upstream markets of operating advertising panels in transport networks and supplying advertising street furniture, and (ii) the downstream market of outdoor advertising. The position of advertisers downstream determines their position in the upstream markets and vice versa. First, the turnover achieved by advertisers with advertisers downstream conditions the fees paid upstream by advertisers to local authorities and transport companies that launch calls for tenders for the allocation of these markets. Since the operation would lead to a strengthening of the new entity's position in the downstream market, it could therefore advantage it in these upstream markets, as it would allow it to offer more attractive offers than those of its competitors to local authorities and transport companies. Moreover, the position of advertisers</w:t>
      </w:r>
    </w:p>
    <w:p>
      <w:r>
        <w:rPr>
          <w:b/>
        </w:rPr>
        <w:t>[Pages 4–4]</w:t>
      </w:r>
    </w:p>
    <w:p>
      <w:r>
        <w:t>on the upstream markets determining, in turn, their position in the downstream market, the advantage gained by the new entity in the upstream markets would ultimately lead to a strengthening of its position in the downstream market for outdoor advertising. The continuous strengthening of the new entity both downstream and upstream could therefore lead to the exclusion of competitors across all these markets.</w:t>
      </w:r>
    </w:p>
    <w:p>
      <w:r>
        <w:t>15. It is therefore necessary to initiate a thorough examination, pursuant to III of Article L. 430-5 of the Commercial Code.</w:t>
      </w:r>
    </w:p>
    <w:p>
      <w:r>
        <w:t>DECIDES</w:t>
      </w:r>
    </w:p>
    <w:p>
      <w:r>
        <w:t>Sole Article: The operation notified under number 15-081 is subject to a thorough examination under the conditions provided for in Article L. 430-6 of the Commercial Code.</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