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https://www.autoritedelaconcurrence.fr/fr/decision-de-controle-des-concentrations/relative-la-prise-de-controle-exclusif-du-groupe-metropole</w:t>
      </w:r>
    </w:p>
    <w:p>
      <w:r>
        <w:t>Pages translated : 6</w:t>
      </w:r>
    </w:p>
    <w:p/>
    <w:p>
      <w:r>
        <w:rPr>
          <w:b/>
        </w:rPr>
        <w:t>[Pages 1–3]</w:t>
      </w:r>
    </w:p>
    <w:p>
      <w:r>
        <w:t xml:space="preserve">FRENCH REPUBLIC  </w:t>
        <w:br/>
        <w:t xml:space="preserve">Decision No. 22-DEX-01 of March 18, 2022  </w:t>
        <w:br/>
        <w:t xml:space="preserve">regarding the exclusive control of the Métropole Télévision group  </w:t>
        <w:br/>
        <w:t xml:space="preserve">by the Bouygues group  </w:t>
        <w:br/>
        <w:t xml:space="preserve">The Competition Authority,  </w:t>
        <w:br/>
        <w:t xml:space="preserve">Having regard to the notification file submitted in full to the concentrations service on February 17, 2022,  </w:t>
        <w:br/>
        <w:t xml:space="preserve">regarding the exclusive control by the Bouygues group of the Métropole Télévision group,  </w:t>
        <w:br/>
        <w:t xml:space="preserve">formalized by a framework agreement and a business combination agreement, both dated July 8, 2021;  </w:t>
        <w:br/>
        <w:t xml:space="preserve">Having regard to Book IV of the Commercial Code relating to price freedom and competition, and  </w:t>
        <w:br/>
        <w:t xml:space="preserve">notably its Articles L. 430-1 to L. 430-7;  </w:t>
        <w:br/>
        <w:t xml:space="preserve">Having regard to the other documents in the file;  </w:t>
        <w:br/>
        <w:t xml:space="preserve">Adopts the following decision:  </w:t>
        <w:br/>
        <w:t xml:space="preserve">1. The Bouygues group (hereinafter, "Bouygues"), ultimately controlled by Bouygues S.A., is active in several sectors such as construction and public works, real estate, and telecommunications through Bouygues Telecom, an Internet service provider. It also holds exclusive control of the company Télévision Française 1 (hereinafter "TF1") through the holding of 43.7% of its capital. TF1's main activity, directly or through its subsidiaries, is the publishing of television channels that have, in the territory of metropolitan France, authorizations to broadcast free-to-air on DTT, namely the TF1 channels (historical terrestrial channel), TMC, TFX, LCI (news channel), and TF1 Séries Films. TF1 also publishes thematic channels that do not have authorization to broadcast on DTT, namely the channels TV Breizh, Ushuaïa TV, Histoire, and Série Club (the latter being co-controlled with the Métropole Télévision group at 50%). TF1 also co-operates, with the Métropole Télévision and France Télévisions groups, the Salto platform which distributes free-to-air DTT channels and thematic channels, as well as associated services and functionalities, and publishes video-on-demand services.  </w:t>
        <w:br/>
        <w:t xml:space="preserve">2. TF1 operates other activities related to its main activity as a television channel publisher: audiovisual and film production and the acquisition of audiovisual rights, through its subsidiaries TF1 Films Production, TF1 Production, and Newen Studios, the marketing of advertising spaces, through its advertising agency TF1 Publicité (both for the channels and websites it publishes1 as well as for channels, radios2, and websites published by third parties), the publishing and distribution of DVDs and music CDs, the development of derivative products from the broadcast (exploitation of licenses, musical shows or board games) and the development of digital and interactive services (mytf1.fr service and subscription video-on-demand service TfouMax dedicated to youth animation). The group also publishes websites and print magazines.  </w:t>
        <w:br/>
        <w:t xml:space="preserve">3. The Métropole Télévision group (hereinafter "M6 group") is exclusively controlled by RTL Group (hereinafter "RTL") through the holding of 48.26% of the capital of the company Métropole Télévision (hereinafter, "Métropole Télévision"). RTL itself is held at a rate of 75.4% by the Bertelsmann group. The M6 group has as its main activity, directly or through its subsidiaries, the publishing of television channels that have, in the territory of metropolitan France, authorizations to broadcast free-to-air on DTT, namely the M6, W9, Gulli, and 6ter channels. The M6 group also operates thematic channels that do not have authorization to broadcast free-to-air on DTT, namely Paris Première, which has authorization to broadcast on encrypted DTT, Téva, M6 Music, Canal J, TiJi, MCM, MCM Top, RFM TV, and Série Club, of which it controls 50% of the capital with TF1. The M6 group operates the Gulli Max video-on-demand service, aimed at youth. Finally, the M6 group co-operates, with TF1 and France Télévisions, the Salto platform.  </w:t>
        <w:br/>
        <w:t xml:space="preserve">4. Furthermore, the M6 group operates a set of activities related to its main activity as a television channel publisher: audiovisual and film production, the acquisition of audiovisual rights, the marketing of advertising screens, the publishing and distribution of DVDs and music CDs, and the development of digital services. Finally, the M6 group controls the radio group RTL France, which has several authorizations to broadcast radio programs in metropolitan France for the three national radios, RTL France, RTL 2, and Fun Radio, and develops various activities related to the operation of these radio services.  </w:t>
        <w:br/>
        <w:t xml:space="preserve">5. The contemplated operation consists of the realization of several successive legal operations organized by the documentation detailed below.  </w:t>
        <w:br/>
        <w:t xml:space="preserve">6. On May 17, 2021, Bouygues and RTL signed an agreement to enter into exclusive negotiations, to which a draft framework agreement describing the operation is attached, this latter including an annex with a draft shareholders' agreement. On May 17, 2021, TF1 and the M6 group signed an agreement to enter into exclusive negotiations, to which a draft agreement is attached aimed at organizing the merger of the activities of the two companies (hereinafter, "business combination agreement" or "BCA").  </w:t>
        <w:br/>
        <w:t xml:space="preserve">7. On July 8, 2021 (i) Bouygues and RTL signed the framework agreement*, to which the draft shareholders' agreement is attached, and (ii) TF1 and the M6 group signed the BCA.  </w:t>
        <w:br/>
        <w:t xml:space="preserve">8. This contractual documentation provides for the various legal steps constituting the operation, which will conclude with the signing of the shareholders' agreement.  </w:t>
        <w:br/>
        <w:t xml:space="preserve">9. […].  </w:t>
        <w:br/>
        <w:t xml:space="preserve">10. […]. Under the terms of the contractual documentation, these various operations will be carried out concurrently.  </w:t>
        <w:br/>
        <w:t xml:space="preserve">1 Except for the advertising screens of the Série Club channel.  </w:t>
        <w:br/>
        <w:t xml:space="preserve">2 The TF1 Publicité agency has concluded, in this regard, management agreements with the Economic Interest Group "GIE les Indépendants", the radio M Radio, and the agencies Radio Océan Indien, Radio Caraïbes International, and R2GP.  </w:t>
        <w:br/>
        <w:t xml:space="preserve">* Correction of material error  </w:t>
        <w:br/>
        <w:t>2</w:t>
      </w:r>
    </w:p>
    <w:p>
      <w:r>
        <w:t xml:space="preserve">11. Upon completion of these operations, Bouygues will hold approximately 30% of the capital of Newborn and RTL approximately 16%.  </w:t>
        <w:br/>
        <w:t xml:space="preserve">12. Finally, Bouygues and RTL will sign the shareholders' agreement relating to the governance of Newborn.  </w:t>
        <w:br/>
        <w:t xml:space="preserve">13. The conclusion and implementation of the contractual documentation are likely to confer exclusive control of the M6 group to Bouygues.  </w:t>
        <w:br/>
        <w:t xml:space="preserve">14. Firstly, regarding the governance of Newborn, the shareholders' agreement provides for concerted action by Bouygues and RTL within the general assembly. Under this concerted action, Bouygues and RTL must consult each other before any general assembly to define a common position on each vote within the general assembly. However, in the event of disagreement, RTL must obligatorily vote the decisions in the direction desired by Bouygues.  </w:t>
        <w:br/>
        <w:t xml:space="preserve">15. If the cumulative capital shares of Bouygues and RTL remain below 50%, the analysis of the participation rates of shareholders within the TF1 and Métropole Télévision companies leads to the conclusion that this share of capital will be sufficient to obtain the majority within the general assembly of Newborn. Given the concerted action described above, this majority will systematically be exercised in the direction decided by Bouygues.  </w:t>
        <w:br/>
        <w:t xml:space="preserve">16. Regarding the board of directors of Newborn, the shareholders' agreement stipulates that as long as RTL holds a stake of […] % in the capital of Newborn, the board of directors of the latter will be composed of 12 members, including 4 members appointed on the proposal of Bouygues (including the chairman of the board of directors, who has a casting vote), 2 members appointed on the proposal of RTL, 2 independent directors appointed by Bouygues, 1 independent director appointed by RTL, 2 members appointed by the employees of Newborn, and 1 member appointed by the employees of Newborn who is a shareholder.  </w:t>
        <w:br/>
        <w:t xml:space="preserve">17. Under the terms of Article 2.1.4 of the shareholders' agreement, the decisions submitted to the board of directors of Newborn will be adopted by a simple majority, it being specified that Bouygues will designate 4 members and 2 independent directors3, and that the chairman of the board of directors, appointed on the proposal of Bouygues, will have a casting vote in the event of a tie.  </w:t>
        <w:br/>
        <w:t xml:space="preserve">18. The shareholders' agreement also provides for concerted action by Bouygues and RTL within the board of directors. […]. In the event of disagreement, RTL must vote in accordance with the decisions of Bouygues (with the exception of certain decisions, see below).  </w:t>
        <w:br/>
        <w:t xml:space="preserve">19. Consequently, assuming that the independent directors appointed by Bouygues do not vote in the same direction as Bouygues, the latter will still be able to determine the direction of the decisions made by the board of directors of Newborn, given the concerted action mentioned above, which is constrained within a reduced timeframe, and the casting vote held by the chairman of the board of directors. Furthermore, the course of the concerted action will imply that coordination occurs prior to the decision-making.  </w:t>
        <w:br/>
        <w:t xml:space="preserve">20. It follows from these elements that Bouygues will have, after the operation, the capacity to exercise alone a decisive influence over Newborn, which it will therefore control exclusively.  </w:t>
        <w:br/>
        <w:t xml:space="preserve">21. Secondly, regarding M6 La Chaîne, Newborn will hold [40-50]% of its capital. Given the participation rates observed within the general assembly of Métropole Télévision, this participation within M6 La Chaîne, whose shareholding structure  </w:t>
        <w:br/>
        <w:t xml:space="preserve">3 See, in this regard, CJEU, February 23, 2006, Cementbouw Handel &amp; Industrie / Commission, T-282/02, paragraph 74.  </w:t>
        <w:br/>
        <w:t>3</w:t>
      </w:r>
    </w:p>
    <w:p>
      <w:r>
        <w:rPr>
          <w:b/>
        </w:rPr>
        <w:t>[Pages 4–6]</w:t>
      </w:r>
    </w:p>
    <w:p>
      <w:r>
        <w:t xml:space="preserve">floating will remain identical in relation to the current shareholding of Métropole Télévision, allowing Newborn to obtain the majority at the general assembly.  </w:t>
        <w:br/>
        <w:t xml:space="preserve">22. Under these conditions, through Newborn, which it will exclusively control, Bouygues will be able to exercise a decisive influence alone on the commercial policy of the company M6 La Chaîne and will therefore exercise a decisive influence over it.  </w:t>
        <w:br/>
        <w:t xml:space="preserve">23. The shareholders' agreement lists decisions related to the activities of Newborn and M6 La Chaîne that may be subject to a veto by RTL4. However, given the nature of these decisions, which concern investments with a high threshold and a defined scope, it appears that this veto right does not exceed what is normally granted to a minority shareholder in order to protect its financial interests and, in this sense, does not confer RTL with a decisive influence over Newborn.  </w:t>
        <w:br/>
        <w:t xml:space="preserve">24. As it results in the exclusive control by Bouygues of the M6 group, the notified operation constitutes a concentration within the meaning of Article L. 430-1 of the Commercial Code.  </w:t>
        <w:br/>
        <w:t xml:space="preserve">25. The companies concerned generate a total worldwide turnover excluding taxes of more than 150 million euros (Bouygues: 34.7 billion euros for the last fiscal year ending December 31, 2020; Métropole Télévision: 1.3 billion euros for the same fiscal year). Each of these companies has generated, in France, a turnover exceeding 50 million euros (Bouygues: 20.4 billion euros for the last fiscal year ending December 31, 2020; Métropole Télévision: [&gt; 50] million euros for the same fiscal year). The notification thresholds of Article 1 paragraph 2 of Regulation (EC) 139/2004 are exceeded, but since each of the concerned companies generates more than two-thirds of its turnover in the European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26. The markets concerned by the operation are primarily the markets for the acquisition of broadcasting rights for audiovisual content5, the publishing and marketing of television channels6, the distribution of television services7, and advertising8. These markets, as consistently defined by French or European decision-making practice, are affected considering the positions of the parties9.  </w:t>
        <w:br/>
        <w:t xml:space="preserve">27. The notifying party, however, believes that its activities in purchasing broadcasting rights, publishing and marketing channels for distribution to consumers, and selling advertising space have evolved due to various factors, including the development of new modes of consumption of audiovisual services and the competitive pressure exerted by digital operators. It believes that the Authority should take these developments into account when assessing the definitions of the relevant markets concerned by the operation and analyzing the effects generated by Bouygues' exclusive control of M6.  </w:t>
        <w:br/>
        <w:t xml:space="preserve">28. Following the examination provided for in I of Article L. 430-5 of the Commercial Code, the Authority considers that the elements collected during the investigation do not confirm the notifying party's analysis, such that there remains serious doubt regarding the impact on competition resulting from the operation.  </w:t>
        <w:br/>
        <w:t xml:space="preserve">29. Given all these elements, it is necessary to initiate a thorough examination, in accordance with the provisions of the III of Article L. 430-5 of the Commercial Code.  </w:t>
        <w:br/>
        <w:t>9 The operation also concerns other markets, including those for the marketing of data related to the consumption of audiovisual content, the operation of radio services, as well as markets related to the exploitation of music, performance venues, video support, print media titles, and online editorial sites.</w:t>
      </w:r>
    </w:p>
    <w:p>
      <w:r>
        <w:t xml:space="preserve">DECIDES  </w:t>
        <w:br/>
        <w:t xml:space="preserve">Sole Article: The operation notified under number 21-104 is subject to a thorough examination under the conditions provided for in Article L. 430-6 of the Commercial Code.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