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https://www.autoritedelaconcurrence.fr/fr/decision-de-controle-des-concentrations/relative-la-prise-de-controle-exclusif-du-groupe-meubles</w:t>
      </w:r>
    </w:p>
    <w:p>
      <w:r>
        <w:t>Pages translated : 2</w:t>
      </w:r>
    </w:p>
    <w:p/>
    <w:p>
      <w:r>
        <w:rPr>
          <w:b/>
        </w:rPr>
        <w:t>[Pages 1–2]</w:t>
      </w:r>
    </w:p>
    <w:p>
      <w:r>
        <w:t>FRENCH REPUBLIC</w:t>
        <w:br/>
        <w:t>Decision No. 23-DCC-210 of October 16, 2023</w:t>
        <w:br/>
        <w:t>regarding the exclusive control acquisition of the</w:t>
        <w:br/>
        <w:t>Meubles Morin group by the Mobilux group</w:t>
        <w:br/>
        <w:t>The Competition Authority,</w:t>
      </w:r>
    </w:p>
    <w:p>
      <w:r>
        <w:t>Having regard to the notification file sent to the mergers department on September 26, 2023, and declared complete on October 4, 2023, concerning the exclusive control acquisition of the Meubles Morin group by the Mobilux group, via the company But International or another entity of the group, formalized by a share transfer agreement dated June 12, 2023;</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Adopts the following decision:</w:t>
      </w:r>
    </w:p>
    <w:p>
      <w:r>
        <w:t>1. The notified operation consists of the exclusive control acquisition of the company Meubles Morin and its subsidiaries by the Mobilux group. The parties are active in France in the retail distribution sector of furniture products, household appliances, and decoration and miscellaneous goods. Prior to the operation, the Meubles Morin group was conducting its business as a franchisee under the brand "But Cosy." The operation constitutes a concentration operation within the meaning of Article L. 430-1 of the Commercial Code. Given the turnover achieved by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23-133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