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https://www.autoritedelaconcurrence.fr/fr/decision-de-controle-des-concentrations/relative-la-prise-de-controle-exclusif-du-groupe-micropole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24-DCC-187 of August 20, 2024  </w:t>
        <w:br/>
        <w:t xml:space="preserve">regarding the exclusive control acquisition of the Micropole group by  </w:t>
        <w:br/>
        <w:t xml:space="preserve">Talan Holding company  </w:t>
        <w:br/>
        <w:t xml:space="preserve">The Competition Authority,  </w:t>
        <w:br/>
        <w:t xml:space="preserve">Having regard to the complete notification file submitted to the mergers department on July 26, 2024,  </w:t>
        <w:br/>
        <w:t xml:space="preserve">concerning the exclusive control acquisition of the Micropole group by Talan Holding company  </w:t>
        <w:br/>
        <w:t xml:space="preserve">formalized by the announcement of a public tender offer on May 29, 2024;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a public tender offer by Talan Holding company for  </w:t>
        <w:br/>
        <w:t xml:space="preserve">all the shares of Micropole SA, which heads a group active in the digital services sector. The operation constitutes a concentration within the meaning of  </w:t>
        <w:br/>
        <w:t xml:space="preserve">Article L. 430-1 of the Commercial Code. Given the turnover achieved by the  </w:t>
        <w:br/>
        <w:t xml:space="preserve">concerned companies, the operation does not fall under the jurisdiction of the European Union. However, the control thresholds mentioned in I of Article L. 430-2 of the Commercial Code are 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24-158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