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https://www.autoritedelaconcurrence.fr/fr/decision-de-controle-des-concentrations/relative-la-prise-de-controle-exclusif-du-groupe-milexia</w:t>
      </w:r>
    </w:p>
    <w:p>
      <w:r>
        <w:t>Pages translated : 2</w:t>
      </w:r>
    </w:p>
    <w:p/>
    <w:p>
      <w:r>
        <w:rPr>
          <w:b/>
        </w:rPr>
        <w:t>[Pages 1–2]</w:t>
      </w:r>
    </w:p>
    <w:p>
      <w:r>
        <w:t xml:space="preserve">FRENCH REPUBLIC  </w:t>
        <w:br/>
        <w:t xml:space="preserve">Decision No. 23-DCC-131 of June 26, 2023  </w:t>
        <w:br/>
        <w:t xml:space="preserve">regarding the exclusive control acquisition of the Milexia group by the company  </w:t>
        <w:br/>
        <w:t xml:space="preserve">Crédit Mutuel Equity  </w:t>
        <w:br/>
        <w:t xml:space="preserve">The Competition Authority,  </w:t>
        <w:br/>
        <w:t xml:space="preserve">Having regard to the complete notification file submitted to the mergers department on June 9, 2023, concerning the exclusive control acquisition of the Milexia group by the company Crédit Mutuel Equity, formalized by a transfer agreement dated April 21, 2023;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Crédit Mutuel Equity, of the Milexia group, which is primarily active in the sectors of value-added distribution of electronic components and scientific instrumentation. It constitutes a concentration operation within the meaning of Article L. 430-1 of the Commercial Code. Given the turnover generated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23-130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