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https://www.autoritedelaconcurrence.fr/fr/decision-de-controle-des-concentrations/relative-la-prise-de-controle-exclusif-du-groupe-milleis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25-DCC-313 of December 9, 2025</w:t>
        <w:br/>
        <w:t>regarding the exclusive control acquisition of the Milleis group</w:t>
        <w:br/>
        <w:t>by the Crédit Agricole group</w:t>
        <w:br/>
        <w:t>The Competition Authority,</w:t>
        <w:br/>
        <w:t>Having regard to the complete notification file submitted to the mergers department on</w:t>
        <w:br/>
        <w:t>November 24, 2025, concerning the exclusive control acquisition of the Milleis group by the</w:t>
        <w:br/>
        <w:t>Crédit Agricole group, formalized by a memorandum of understanding signed on July 24, 2025;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 by the Crédit Agricole group, via its subsidiary LCL,</w:t>
        <w:br/>
        <w:t>of 100% of the share capital and voting rights of the company Compagnie Financière Holding</w:t>
        <w:br/>
        <w:t>Mixte Milleis which, together with its subsidiaries, forms the Milleis group. The latter is primarily</w:t>
        <w:br/>
        <w:t>active in the private banking sector and, to a more marginal extent, in the production and distribution of</w:t>
        <w:br/>
        <w:t>insurance, solely in France. The operation constitutes a concentration within the meaning of Article L. 430-1</w:t>
        <w:br/>
        <w:t>of the Commercial Code. Given the turnover achieved by the companies concerned, the operation does not fall</w:t>
        <w:br/>
        <w:t>under the jurisdiction of the European Union. On the other hand, the control thresholds mentioned in I of</w:t>
        <w:br/>
        <w:t>Article L. 430-2 of the Commercial Code are exceeded. This operation is therefore subject to the provisions</w:t>
        <w:br/>
        <w:t>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25-250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