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https://www.autoritedelaconcurrence.fr/fr/decision-de-controle-des-concentrations/relative-la-prise-de-controle-exclusif-du-groupe-mk-0</w:t>
      </w:r>
    </w:p>
    <w:p>
      <w:r>
        <w:t>Pages translated : 2</w:t>
      </w:r>
    </w:p>
    <w:p/>
    <w:p>
      <w:r>
        <w:rPr>
          <w:b/>
        </w:rPr>
        <w:t>[Pages 1–2]</w:t>
      </w:r>
    </w:p>
    <w:p>
      <w:r>
        <w:t xml:space="preserve">FRENCH REPUBLIC  </w:t>
        <w:br/>
        <w:t xml:space="preserve">Decision No. 16-DCC-56 of April 27, 2016  </w:t>
        <w:br/>
        <w:t xml:space="preserve">regarding the exclusive control acquisition of the MK Direct 2 group by the  </w:t>
        <w:br/>
        <w:t xml:space="preserve">company Eurazeo PME  </w:t>
        <w:br/>
        <w:t xml:space="preserve">The Competition Authority,  </w:t>
        <w:br/>
        <w:t xml:space="preserve">Having regard to the complete notification file sent to the mergers department on March 25, 2016,  </w:t>
        <w:br/>
        <w:t xml:space="preserve">concerning the exclusive control acquisition of the MK Direct 2 group by the company Eurazeo PME,  </w:t>
        <w:br/>
        <w:t xml:space="preserve">formalized by a purchase promise dated March 15, 2016, and a draft transfer protocol;  </w:t>
        <w:br/>
        <w:t xml:space="preserve">Having regard to Book IV of the Commercial Code relating to the freedom of prices and competition, and  </w:t>
        <w:br/>
        <w:t xml:space="preserve">notably its Articles L. 430-1 to L. 430-7;  </w:t>
        <w:br/>
        <w:t xml:space="preserve">Having regard to the additional elements submitted during the investigation;  </w:t>
        <w:br/>
        <w:t xml:space="preserve">Adopts the following decision:  </w:t>
        <w:br/>
        <w:t xml:space="preserve">1. The notified operation consists of the exclusive control acquisition of the MK Direct 2 group, active  </w:t>
        <w:br/>
        <w:t xml:space="preserve">in the sector of distance and in-store sales of clothing, underwear, decorative products, as well as  </w:t>
        <w:br/>
        <w:t xml:space="preserve">household linen intended for individuals and professionals, by the company Eurazeo PME. This operation constitutes a concentration within the meaning of Article L. 430-1 of the Commercial Code. Given the turnover achieved by the concerned companies, the operation does not fall under the jurisdiction of the European Union. On the other hand, the control thresholds mentioned in point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16-049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