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https://www.autoritedelaconcurrence.fr/fr/decision-de-controle-des-concentrations/relative-la-prise-de-controle-exclusif-du-groupe-mk-direct</w:t>
      </w:r>
    </w:p>
    <w:p>
      <w:r>
        <w:t>Pages translated : 4</w:t>
      </w:r>
    </w:p>
    <w:p/>
    <w:p>
      <w:r>
        <w:rPr>
          <w:b/>
        </w:rPr>
        <w:t>[Pages 1–3]</w:t>
      </w:r>
    </w:p>
    <w:p>
      <w:r>
        <w:t xml:space="preserve">FRENCH REPUBLIC  </w:t>
        <w:br/>
        <w:t xml:space="preserve">Decision No. 10-DCC-103 of August 23, 2010  </w:t>
        <w:br/>
        <w:t xml:space="preserve">regarding the exclusive control of the MK Direct group by  </w:t>
        <w:br/>
        <w:t>Apef Management Company 5 Limited</w:t>
      </w:r>
    </w:p>
    <w:p>
      <w:r>
        <w:t xml:space="preserve">The Competition Authority,  </w:t>
        <w:br/>
        <w:t xml:space="preserve">Having regard to the notification file submitted in full to the merger control service on August 3, 2010, regarding the exclusive control of the MK group by the management company Apef Management Company 5 Limited, through the investment funds Alpha Private Equity Fund 5, formalized by a share transfer agreement and an investment protocol signed on July 30,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transaction  </w:t>
        <w:br/>
        <w:t xml:space="preserve">A. THE COMPANIES  </w:t>
        <w:br/>
        <w:t xml:space="preserve">1. Apef Management Company 5 Limited is the management company of the Alpha Private Equity Fund 51 (hereinafter "the Funds"), constituted in the form of limited partnerships, four under Jersey law and two under the law of the State of Delaware in the United States. Under the regulations of the funds, the general partner has exclusive responsibility for the operation of the Funds, the management and control of their activities and investment decisions. The general partner of the Funds is the company APEF 5 GP, also constituted in the form of a limited partnership whose general partner is Apef Management Company 5 Limited. Apef Management Company 5 Limited, as the general partner of the general partner of the Funds, is therefore the company that holds a decisive influence over the Funds in the sense of merger control law. The shareholding of Apef Management Company 5 Limited consists of [&lt;10] individuals, none of whom holds an absolute majority, the ability to form a blocking minority or veto rights on strategic decisions. These decisions are made by the board of directors by simple majority. The members of the board of directors are appointed by a simple majority decision of the general meeting. Apef Management Company 5 Limited does not hold any interest in a third-party company and does not manage any other investment funds than the Funds.  </w:t>
        <w:br/>
        <w:t xml:space="preserve">2. For information, the shareholders of Apef Management Company 5 Limited are also shareholders of the management company of the Alpha Private Equity Fund 4 ("Apef 4"). Separately, none holds an absolute majority, the power to appoint a majority of the members of the board of directors, the ability to form a blocking minority or veto rights on strategic decisions relating to the management company of Apef 4. However, they collectively hold the ability to exercise decisive influence over the latter since they own more than half of its capital. But there is no shareholders' agreement between the shareholders of the two management companies, who are individuals with no apparent common interest. However, in the event that a common interest would lead them to vote in the same direction and for all practical purposes, it should be noted that Apef 4 does not control, within the meaning of merger control law, companies present in the markets where the target is present, nor in upstream, downstream, or related markets.  </w:t>
        <w:br/>
        <w:t xml:space="preserve">3. Two of the shareholders of Apef Management Company 5 Limited are also shareholders of the management company of the Alpha Private Equity Fund 3 ("Apef 3"). However, these two shareholders together hold less than 50% of the capital and voting rights of the management company of Apef 3. Furthermore, there is only one common member on the boards of directors of Apef Management Company 5 Limited and the management company of Apef 3. This member does not have a simple majority, nor a casting vote, nor a veto right on the board of directors of the management company of Apef 3.  </w:t>
        <w:br/>
        <w:t xml:space="preserve">4. The Funds are engaged in leveraged buyout acquisitions. The acquired companies are located in continental Europe and operate in various economic sectors (business services: 25%, industries: 18%, construction: 15%, B to B: 13%, media/telecoms: 10%, consumer goods: 10%, B to C: 7%, health-pharmacy: 2%).  </w:t>
        <w:br/>
        <w:t xml:space="preserve">5. The total worldwide turnover excluding taxes achieved by the Funds in 2009 amounts to […] billion euros, of which [&gt;50] million euros were achieved in France.  </w:t>
        <w:br/>
        <w:t xml:space="preserve">6. The MK Direct group includes the company MK Direct, which holds 100% of the capital and voting rights of ACAMEF and Françoise Saget, as well as 99.97% of the capital and voting rights of Linvosges. The MK Direct group is primarily active in the high-end (Linvosges) and mid-range (Françoise Saget) home textiles distance selling sector in France. It also owns a network of eight Linvosges boutiques, a Françoise Saget outlet store, and a sales activity for hospitality professionals for Linvosges. In addition to home linens, Françoise Saget has also developed a range of women's day lingerie, then for men (underwear and pajamas), as well as a range for babies including bedding sets, clothing, and accessories. Finally, Linvosges and Françoise Saget have developed a collection of home accessories (cushions, storage covers, throws, etc.).  </w:t>
        <w:br/>
        <w:t xml:space="preserve">7. ACAMEF is a dormant company with no activity or turnover.  </w:t>
        <w:br/>
        <w:t>8. The total worldwide turnover excluding taxes achieved by the MK Direct group in 2009 amounts to 134.1 million euros, of which 131.2 million euros were achieved in France.</w:t>
      </w:r>
    </w:p>
    <w:p>
      <w:r>
        <w:t xml:space="preserve">B. THE TRANSACTION  </w:t>
        <w:br/>
        <w:t xml:space="preserve">9. On July 28, 2010, a Luxembourg law holding company, Financière Lineus, was established by the Funds. On the same day, Financière Lineus acquired a French law holding company, renamed MK Direct 2.  </w:t>
        <w:br/>
        <w:t xml:space="preserve">10. Under the terms of the share transfer agreement dated July 30, 2010, the Funds will acquire, through MK Direct 2, [&gt;90]% of the share capital of the company MK Direct. Furthermore, the remaining […]% of the shares will be transferred to MK Direct 2, no later than September 15, 2010, by Mrs. X and Mr. Y, in exchange for shares of MK Direct 2. Ultimately, MK Direct 2 will therefore control 100% of the capital and voting rights of MK Direct.  </w:t>
        <w:br/>
        <w:t xml:space="preserve">11. An investment protocol dated July 30, 2010, between the Funds and these two individuals provides for the terms of the investment operations to be carried out by each party in the capital of MK Direct 2. It is agreed that Financière Lineus will substitute the Funds in their obligations under the investment protocol. At the end of this protocol, the capital and voting rights of MK Direct 2 will be held predominantly by the Funds via Financière Lineus. They will be distributed as follows: [&gt;60]% for Financière Lineus, all of whose capital and voting rights are held by the Funds; [&lt;30]% for X; [&lt;10]% for Y; and [&lt;2]% for an acquisition vehicle held by approximately twelve executives chosen by Mrs. X in agreement with the Funds.  </w:t>
        <w:br/>
        <w:t xml:space="preserve">12. Furthermore, Annex 2 of the investment protocol provides the main terms of the shareholders' agreement of MK Direct 2, notably the governance of the company. The management of the company will be entrusted to a management board composed of Mrs. X and Mr. Y, appointed by a strategic committee. This strategic committee also decides by simple majority on a number of decisions such as the approval and modification of the annual budget of the MK Direct group companies, the hiring or dismissal of any employee whose gross annual salary exceeds 150,000 euros, or the creation or elimination of a business line. With three members out of five on the strategic committee (the other two being appointed by Mrs. X and Mr. Y), the Funds will have a simple majority and a decisive influence in the sense of merger control law over the governance of MK Direct 2, and consequently over that of the MK Direct group of which MK Direct 2 holds control.  </w:t>
        <w:br/>
        <w:t>13. As it translates, in light of the preceding elements, into the exclusive control by the Funds of the MK Direct group, the notified transaction constitutes a concentration within the meaning of Article L. 430-1 of the Commercial Code. The control thresholds mentioned in Article L. 430-2 of the Commercial Code are exceeded, and this transaction is therefore subject to the provisions of Articles L. 430-3 and following of the Commercial Code relating to economic concentration.</w:t>
      </w:r>
    </w:p>
    <w:p>
      <w:r>
        <w:rPr>
          <w:b/>
        </w:rPr>
        <w:t>[Pages 4–4]</w:t>
      </w:r>
    </w:p>
    <w:p>
      <w:r>
        <w:t>II. Competitive Analysis</w:t>
      </w:r>
    </w:p>
    <w:p>
      <w:r>
        <w:t>14. None of the companies currently held by the Funds are active in the markets in which the MK Direct group operates, nor in markets that have vertical or related links with those markets. Consequently, the notified transaction is not likely to harm competition.</w:t>
      </w:r>
    </w:p>
    <w:p>
      <w:r>
        <w:t>DECIDES</w:t>
      </w:r>
    </w:p>
    <w:p>
      <w:r>
        <w:t>Sole Article: The transaction notified under number 10-0123 is authorized.</w:t>
      </w:r>
    </w:p>
    <w:p>
      <w:r>
        <w:t xml:space="preserve">The Vice-President,  </w:t>
        <w:br/>
        <w:t xml:space="preserve">Anne Perrot  </w:t>
        <w:br/>
        <w:t>Competition Authority</w:t>
      </w:r>
    </w:p>
    <w:p>
      <w:r>
        <w:t>For information, the Funds hold joint control with a third-party company over Eterna, which manufactures men's shirts, ties, women's blouses, cufflinks, socks, and men's t-shirts. Eterna operates in a distinct market from those of the MK Direct group in accordance with the decision-making practice that considers the lingerie market to be distinct from the "outerwear" market (See decisions of the Minister of Economy C2005-128 of January 17, 2006, and C2007-17 of March 16,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