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https://www.autoritedelaconcurrence.fr/fr/decision-de-controle-des-concentrations/relative-la-prise-de-controle-exclusif-du-groupe-mom-par</w:t>
      </w:r>
    </w:p>
    <w:p>
      <w:r>
        <w:t>Pages translated : 4</w:t>
      </w:r>
    </w:p>
    <w:p/>
    <w:p>
      <w:r>
        <w:rPr>
          <w:b/>
        </w:rPr>
        <w:t>[Pages 1–3]</w:t>
      </w:r>
    </w:p>
    <w:p>
      <w:r>
        <w:t xml:space="preserve">FRENCH REPUBLIC  </w:t>
        <w:br/>
        <w:t xml:space="preserve">Decision No. 10-DCC-173 of November 29, 2010  </w:t>
        <w:br/>
        <w:t xml:space="preserve">regarding the exclusive control of the Mom group by LBO France Gestion  </w:t>
        <w:br/>
        <w:t xml:space="preserve">The Competition Authority,  </w:t>
        <w:br/>
        <w:t xml:space="preserve">Having regard to the notification file submitted in full to the mergers service on October 25, 2010, concerning the exclusive control of the Mom group by LBO France Gestion, formalized by the signing of a draft share transfer agreement dated October 6,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LBO France Gestion, a simplified joint-stock company under French law, is an independent portfolio management company, none of whose shareholders is majority or holds special rights enabling them to exercise decisive influence. LBO France Gestion currently manages […] venture capital funds that hold controlling stakes in the capital of companies with low or medium capitalization, active in various sectors such as construction, agri-food, real estate, or health.  </w:t>
        <w:br/>
        <w:t xml:space="preserve">2. The company Investco MBMA, a simplified joint-stock company, head of the Mom group, holds the majority of the capital of Mom SAS, which also holds all the capital of the companies Mont Blanc, Materne, and Materne North American. The Mom group is primarily active in the production and marketing of applesauce, jams, dessert creams, condensed milk, and fruit-based preparations.  </w:t>
        <w:br/>
        <w:t xml:space="preserve">3. The contemplated operation is structured in two phases. First, a new company will be created, the majority of the capital and voting rights of which will be held by LBO France Gestion, without the minority shareholders possessing any special rights that would grant them decisive influence over it. Secondly, this new company will directly acquire all the shares of Investco MBMA and, indirectly, all the shares of Mom SAS, Mont Blanc, Materne, and Materne North American. As it results in the exclusive control by LBO France Gestion of the Mom group, the notified operation constitutes a concentration within the meaning of Article L.430-1 of the Commercial Code.  </w:t>
        <w:br/>
        <w:t xml:space="preserve">4. The companies concerned together achieve a total worldwide turnover of more than 150 million euros (LBO France Gestion: [&gt;150 million] euros for the fiscal year ending December 31, 2009; Mom group: [&gt;150 million] euros for the fiscal year ending December 31, 2009). At least two of these companies achieve a turnover in France exceeding 50 million euros (LBO France Gestion: [&gt;50 million] euros for the fiscal year ending December 31, 2009; Mom group: [&gt;50 million] euros for the fiscal year ending December 31, 2009).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Mom group markets five types of products: applesauce, dessert cream, jam, condensed milk, and fruit preparations for the industry, namely fruit-based preparations intended for manufacturers of biscuits, pastries, dairy products, or ice creams.  </w:t>
        <w:br/>
        <w:t xml:space="preserve">6. The 31 companies in which LBO France Gestion holds controlling stakes are specialized in different sectors unrelated to that of the target, such as clothing, real estate, and health, except for the company Poult, which manufactures and markets biscuits.  </w:t>
        <w:br/>
        <w:t xml:space="preserve">7. Therefore, the only markets likely to be affected by the operation are those for the marketing of fruit preparations and biscuits, markets that will be taken into account for the analysis of vertical effects.  </w:t>
        <w:br/>
        <w:t xml:space="preserve">A. DELIMITATION OF PRODUCT MARKETS  </w:t>
        <w:br/>
        <w:t xml:space="preserve">1. FRUIT PREPARATIONS  </w:t>
        <w:br/>
        <w:t xml:space="preserve">8. The fruit preparations marketed by the Mom group are fruit-based ingredients intended to be incorporated into biscuits, pastries, ice creams, frozen desserts, and dairy products manufactured by industrials. While these ingredients and their manufacturing process are identical, regardless of the type of finished product in which they are integrated, their degree of fruit concentration may differ. Thus, the concentration rate is generally stronger for preparations intended for biscuits than for those incorporated into dairy products.  </w:t>
        <w:br/>
        <w:t xml:space="preserve">9. The parties consider that these fruit-based preparations constitute a distinct product market, without the need for further segmentation. In this case, the question of the existence and precise delimitation of this market can be left open, in the absence of any competitive issue in the case at hand.  </w:t>
        <w:br/>
        <w:t xml:space="preserve">2. BISCUITS  </w:t>
        <w:br/>
        <w:t xml:space="preserve">10. Decision-making practice has considered several segmentations of the biscuit sector:  </w:t>
        <w:br/>
        <w:t xml:space="preserve">- a first relating to the type of products, distinguishing between industrial biscuits and long-life pastries, due to low substitutability both on the supply and demand sides;  </w:t>
        <w:br/>
        <w:t xml:space="preserve">- a second relating to the type of recipes or specialties used for the manufacture of biscuits;  </w:t>
        <w:br/>
        <w:t xml:space="preserve">- a third according to the distribution channel, notably distinguishing between products intended for out-of-home catering and products sold to food-dominant retailers;  </w:t>
        <w:br/>
        <w:t xml:space="preserve">- finally, among the products sold to food-dominant retailers, a fourth segmentation based on the commercial positioning of the products, distinguishing between products sold under private label or low-cost brands and products sold under manufacturer brands.  </w:t>
        <w:br/>
        <w:t xml:space="preserve">11. The notifying party, which does not contest the relevance of these proposed market delimitations, is only present in the market for biscuits intended for food-dominant retailers and marketed under private label.  </w:t>
        <w:br/>
        <w:t xml:space="preserve">12. In any case, insofar as the conclusions of the competitive analysis will remain unchanged, regardless of the hypotheses retained, the question of the precise delimitation of these markets can be left open.  </w:t>
        <w:br/>
        <w:t xml:space="preserve">B. GEOGRAPHICAL DELIMITATION OF MARKETS  </w:t>
        <w:br/>
        <w:t xml:space="preserve">13. In the food sector, competition authorities traditionally consider markets to be of national dimension. Consumer preferences, tastes, and habits, price differences, variations in market shares of operators in different countries, and the strong presence of national brands justify this delimitation.  </w:t>
        <w:br/>
        <w:t xml:space="preserve">14. In the industrial biscuit sector, decision-making practice has reached the same conclusion regarding the geographical dimension of the markets, and there is no reason to challenge it in this case.  </w:t>
        <w:br/>
        <w:t xml:space="preserve">1 See in particular the letters from the Minister of Economy, Finance and Industry No. C2006-115 of December 8, 2006, to the boards of the Biscuiterie de la Baie du Mont Saint Michel, No. C2007-109 of August 27, 2007, to the boards of Galapagos and Norac.  </w:t>
        <w:br/>
        <w:t xml:space="preserve">2 See the decisions of the Competition Authority No. 09-DCC-48 in the sector of catering products, No. 10-DCC-21 in the sector of vegetables and mushrooms, No. 10-DCC-60 in the sector of ice creams.  </w:t>
        <w:br/>
        <w:t>3 See the letters from the Minister No. C2006-115 and C2007-109 mentioned above.</w:t>
      </w:r>
    </w:p>
    <w:p>
      <w:r>
        <w:rPr>
          <w:b/>
        </w:rPr>
        <w:t>[Pages 4–4]</w:t>
      </w:r>
    </w:p>
    <w:p>
      <w:r>
        <w:t xml:space="preserve">III. Competitive Analysis  </w:t>
        <w:br/>
        <w:t xml:space="preserve">15. Since the parties to the operation are not simultaneously present in the same relevant markets, the analysis of the horizontal effects of the operation is irrelevant. On the other hand, the biscuit manufacturing activity of the company Poult, controlled by LBO France Gestion, being downstream of the fruit preparation manufacturing activity for the industrial sector of the Mom group, it is necessary to analyze the vertical effects of the operation.  </w:t>
        <w:br/>
        <w:t xml:space="preserve">16. A vertical concentration can restrict competition by making access to the markets in which the new entity will be active more difficult, or even potentially driving out competitors or penalizing them by increasing their costs. Two types of lock-in are distinguished. In the first case, the integrated company refuses to sell an input to its downstream competitors or provides it at a high price, under unfavorable conditions, or at a degraded quality level (input market lock-in). In the second case, the downstream branch of the integrated company refuses to purchase or distribute the products of upstream manufacturers, thereby reducing their commercial outlets (customer access lock-in). However, the decision-making practice of competition authorities considers that these risks are unlikely when the market share of the company resulting from the operation in the relevant markets does not exceed 30%.  </w:t>
        <w:br/>
        <w:t xml:space="preserve">17. In this case, the notifying party estimated that the company Poult has a market share of between [10-20]% in the national market for biscuits intended for food-dominant retailers. It competes with several players, some of whom have significantly higher market shares, such as Lu, United Biscuits, and the MB group. It also estimated that the Mom group represents approximately [5-10]% of the national market for the marketing of fruit preparations to the industrial sector.  </w:t>
        <w:br/>
        <w:t xml:space="preserve">18. Therefore, given these low market shares, the risks of market lock-in can be ruled out. This operation is therefore not likely to harm competition through vertical effects.  </w:t>
        <w:br/>
        <w:t xml:space="preserve">DECIDES  </w:t>
        <w:br/>
        <w:t xml:space="preserve">Sole Article: The operation notified under number 10-0178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