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https://www.autoritedelaconcurrence.fr/fr/decision-de-controle-des-concentrations/relative-la-prise-de-controle-exclusif-du-groupe-moma-par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25-DCC-35 of February 17, 2025</w:t>
        <w:br/>
        <w:t>regarding the exclusive control acquisition of the Moma group by the company</w:t>
        <w:br/>
        <w:t>Butler Industries</w:t>
        <w:br/>
        <w:t>The Competition Authority,</w:t>
        <w:br/>
        <w:t>Having regard to the complete notification file submitted to the mergers department on January 30, 2025,</w:t>
        <w:br/>
        <w:t>concerning the exclusive control acquisition of the Moma group by the company Butler Industries formalized</w:t>
        <w:br/>
        <w:t>by a memorandum of understanding concluded on December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Butler Industries S.A. of shares in</w:t>
        <w:br/>
        <w:t>the company Moma TopCO S.A.S., granting it, directly and indirectly, 84.73% of the capital</w:t>
        <w:br/>
        <w:t>and voting rights of the company Moma Holding S.A.S., the parent company of the Moma group. The</w:t>
        <w:br/>
        <w:t>latter is notably active in the commercial catering sector. This operation constitutes a concentration within the meaning of Article L. 430-1 of the Commercial Code. Given</w:t>
        <w:br/>
        <w:t>the turnover achieved by the concerned companies, the operation does not fall under the</w:t>
        <w:br/>
        <w:t>jurisdiction of the European Union. On the other hand, the control thresholds mentioned in 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25-010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