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https://www.autoritedelaconcurrence.fr/fr/decision-de-controle-des-concentrations/relative-la-prise-de-controle-exclusif-du-groupe-monceau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13-DCC-94 of July 16, 2013  </w:t>
        <w:br/>
        <w:t xml:space="preserve">regarding the exclusive control acquisition of Groupe Monceau Fleurs by  </w:t>
        <w:br/>
        <w:t xml:space="preserve">the company Perceva  </w:t>
        <w:br/>
        <w:t xml:space="preserve">The Competition Authority,  </w:t>
        <w:br/>
        <w:t xml:space="preserve">Having regard to the complete notification file sent to the mergers department on June 25, 2013,  </w:t>
        <w:br/>
        <w:t xml:space="preserve">concerning the exclusive control acquisition of Groupe Monceau Fleurs by the company Perceva,  </w:t>
        <w:br/>
        <w:t xml:space="preserve">formalized by an investment protocol dated June 24,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FCPR France Special  </w:t>
        <w:br/>
        <w:t xml:space="preserve">Situations Fund I, managed by the company Perceva, of Groupe Monceau Fleurs which is active in the  </w:t>
        <w:br/>
        <w:t xml:space="preserve">sale, wholesale and retail, of flowers, plants, and accessories. It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have a community dimension. On the other hand, the  </w:t>
        <w:br/>
        <w:t xml:space="preserve">control thresholds mentioned in point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notified operation under number 13-109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