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https://www.autoritedelaconcurrence.fr/fr/decision-de-controle-des-concentrations/relative-la-prise-de-controle-exclusif-du-groupe-my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22-DCC-162 of August 30, 2022  </w:t>
        <w:br/>
        <w:t xml:space="preserve">regarding the exclusive control acquisition of the My Mobility group by the  </w:t>
        <w:br/>
        <w:t xml:space="preserve">company Chequers Partenaires  </w:t>
        <w:br/>
        <w:t xml:space="preserve">The Competition Authority,  </w:t>
        <w:br/>
        <w:t xml:space="preserve">Having regard to the notification file submitted in full to the mergers department on August 11, 2022,  </w:t>
        <w:br/>
        <w:t xml:space="preserve">concerning the exclusive control acquisition of the company My Mobility and its subsidiaries by the company  </w:t>
        <w:br/>
        <w:t xml:space="preserve">Chequers Partenaires formalized by a transfer contract dated August 6, 2022;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additional elements provided by the notifying party during the investigation;  </w:t>
        <w:br/>
        <w:t xml:space="preserve">Adopts the following decision:  </w:t>
        <w:br/>
        <w:t xml:space="preserve">1. The notified operation consists of the exclusive control acquisition by the company Chequers Partenaires  </w:t>
        <w:br/>
        <w:t xml:space="preserve">of the My Mobility group, active in the sector of transportation for persons with disabilities.  </w:t>
        <w:br/>
        <w:t xml:space="preserve">It constitutes a concentration operation within the meaning of Article L. 430-1 of the Commercial Code.  </w:t>
        <w:br/>
        <w:t xml:space="preserve">Given the turnover achieved by the companies concerned, the operation does not fall under the jurisdiction of the European Union.  </w:t>
        <w:br/>
        <w:t xml:space="preserve">On the other hand, the control thresholds mentioned in point I of Article L. 430-2 of the Commercial Code are exceeded.  </w:t>
        <w:br/>
        <w:t xml:space="preserve">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22-215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