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https://www.autoritedelaconcurrence.fr/fr/decision-de-controle-des-concentrations/relative-la-prise-de-controle-exclusif-du-groupe-nacarat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20-DCC-140 of October 13, 2020  </w:t>
        <w:br/>
        <w:t xml:space="preserve">regarding the exclusive control acquisition of the Nacarat group  </w:t>
        <w:br/>
        <w:t xml:space="preserve">by the Procivis Nord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21, 2020, concerning the exclusive control acquisition of the Nacarat group by the  </w:t>
        <w:br/>
        <w:t xml:space="preserve">Procivis Nord group, materialized by a purchase promise dated July 21,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parties during the  </w:t>
        <w:br/>
        <w:t xml:space="preserve">investigation;  </w:t>
        <w:br/>
        <w:t xml:space="preserve">Adopts the following decision:  </w:t>
        <w:br/>
        <w:t xml:space="preserve">1. The notified operation consists of the exclusive control acquisition of the Nacarat group by the  </w:t>
        <w:br/>
        <w:t xml:space="preserve">Procivis Nord group, both active in the real estate services sector. It constitutes a  </w:t>
        <w:br/>
        <w:t xml:space="preserve">concentration operation within the meaning of Article L. 430-1 of the Commercial Code. Given the  </w:t>
        <w:br/>
        <w:t xml:space="preserve">turnover achieved by the concerned companies, the operation does not fall under the  </w:t>
        <w:br/>
        <w:t xml:space="preserve">jurisdiction of the European Union. On the other hand, the control thresholds mentioned in point I  </w:t>
        <w:br/>
        <w:t xml:space="preserve">of 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20-161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