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https://www.autoritedelaconcurrence.fr/fr/decision-de-controle-des-concentrations/relative-la-prise-de-controle-exclusif-du-groupe-netco-par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21-DCC-123 of July 12, 2021  </w:t>
        <w:br/>
        <w:t xml:space="preserve">regarding the exclusive control acquisition of the NetCo group by the company  </w:t>
        <w:br/>
        <w:t xml:space="preserve">Ardian France  </w:t>
        <w:br/>
        <w:t xml:space="preserve">The Competition Authority,  </w:t>
        <w:br/>
        <w:t xml:space="preserve">Having regard to the complete notification file submitted to the mergers department on June 22, 2021,  </w:t>
        <w:br/>
        <w:t xml:space="preserve">concerning the exclusive control acquisition of the NetCo group by the company Ardian France, formalized  </w:t>
        <w:br/>
        <w:t xml:space="preserve">by the share transfer agreement dated June 15,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Ardian France of the  </w:t>
        <w:br/>
        <w:t xml:space="preserve">NetCo group, active in the sectors of manufacturing, distribution, and maintenance of conveyor belts and  </w:t>
        <w:br/>
        <w:t xml:space="preserve">conveying systems. It constitutes a concentration operation within the meaning of Article L. 430-1 of the  </w:t>
        <w:br/>
        <w:t xml:space="preserve">Commercial Code. Given the turnover achieved by the companies concerned, the operation does not fall  </w:t>
        <w:br/>
        <w:t xml:space="preserve">under the jurisdiction of the European Union. However, the control thresholds mentioned in I of Article  </w:t>
        <w:br/>
        <w:t xml:space="preserve">L. 430-2 of the Commercial Code are exceeded. This operation is therefore subject to the provisions of  </w:t>
        <w:br/>
        <w:t xml:space="preserve">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21-131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