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https://www.autoritedelaconcurrence.fr/fr/decision-de-controle-des-concentrations/relative-la-prise-de-controle-exclusif-du-groupe-nexeya-par</w:t>
      </w:r>
    </w:p>
    <w:p>
      <w:r>
        <w:t>Pages translated : 2</w:t>
      </w:r>
    </w:p>
    <w:p/>
    <w:p>
      <w:r>
        <w:rPr>
          <w:b/>
        </w:rPr>
        <w:t>[Pages 1–2]</w:t>
      </w:r>
    </w:p>
    <w:p>
      <w:r>
        <w:t xml:space="preserve">FRENCH REPUBLIC  </w:t>
        <w:br/>
        <w:t xml:space="preserve">Decision No. 13-DCC-123 of August 29, 2013  </w:t>
        <w:br/>
        <w:t xml:space="preserve">regarding the exclusive control acquisition of the Nexeya Group by Activa Capital SAS  </w:t>
        <w:br/>
        <w:t xml:space="preserve">The Competition Authority,  </w:t>
        <w:br/>
        <w:t xml:space="preserve">Having regard to the complete notification file submitted to the mergers department on August 1, 2013, concerning the exclusive control acquisition of Nexeya SA and its subsidiaries (Nexeya Group) by Activa Capital SAS, formalized by a share transfer agreement dated July 30,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Nexeya Group, active in the sector of design, manufacturing, distribution, and maintenance of electronic products specifically intended for the defense, energy, aeronautics, and transportation industries, by one or more funds managed by Activa Capital SAS through a company created specifically for the purpose of the operation, AC2013-1 SAS. It constitutes a concentration operation within the meaning of Article L. 430-1 of the Commercial Code. Given the turnover achieved by the companies concerned,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13-133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