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https://www.autoritedelaconcurrence.fr/fr/decision-de-controle-des-concentrations/relative-la-prise-de-controle-exclusif-du-groupe-nutergia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26-DCC-96 of April 21, 2026</w:t>
        <w:br/>
        <w:t>regarding the exclusive control acquisition of the Nutergia group</w:t>
        <w:br/>
        <w:t>by the 3i group</w:t>
        <w:br/>
        <w:t>The Competition Authority,</w:t>
      </w:r>
    </w:p>
    <w:p>
      <w:r>
        <w:t>Having regard to the complete notification file submitted to the mergers department on April 3, 2026,</w:t>
        <w:br/>
        <w:t>concerning the acquisition of control of the company Nutrition Biologie International, the parent company of the</w:t>
        <w:br/>
        <w:t>Nutergia group by the 3i group, formalized by the purchase agreement and the transfer contract of</w:t>
        <w:br/>
        <w:t>March 14, 2026;</w:t>
      </w:r>
    </w:p>
    <w:p>
      <w:r>
        <w:t>Having regard to Book IV of the Commercial Code relating to the freedom of prices and competition, and</w:t>
        <w:br/>
        <w:t>notably its Articles L. 430-1 to L. 430-7;</w:t>
      </w:r>
    </w:p>
    <w:p>
      <w:r>
        <w:t>Adopts the following decision:</w:t>
      </w:r>
    </w:p>
    <w:p>
      <w:r>
        <w:t>1. The notified operation consists of the exclusive control acquisition of the Nutergia group by the 3i</w:t>
        <w:br/>
        <w:t>group. Nutergia is active in the dietary supplements sector. The operation constitutes a</w:t>
        <w:br/>
        <w:t>concentration operation within the meaning of Article L. 430-1 of the Commercial Code. Given the</w:t>
        <w:br/>
        <w:t>turnover achieved by the concerned companies, the operation does not fall under the</w:t>
        <w:br/>
        <w:t>jurisdiction of the European Union. On the other hand, the control thresholds mentioned in I of</w:t>
        <w:br/>
        <w:t>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</w:r>
    </w:p>
    <w:p>
      <w:r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26-092 is authorized.</w:t>
        <w:br/>
        <w:t>The Vice-President,</w:t>
        <w:br/>
        <w:t>Anne Wachsmann-Guigon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