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https://www.autoritedelaconcurrence.fr/fr/decision-de-controle-des-concentrations/relative-la-prise-de-controle-exclusif-du-groupe-nutrisens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21-DCC-54 of April 1, 2021  </w:t>
        <w:br/>
        <w:t xml:space="preserve">regarding the exclusive control acquisition of the Nutrisens group by the  </w:t>
        <w:br/>
        <w:t xml:space="preserve">company Sagard  </w:t>
        <w:br/>
        <w:t xml:space="preserve">The Competition Authority,  </w:t>
        <w:br/>
        <w:t xml:space="preserve">Having regard to the complete notification file submitted to the mergers department on March 16, 2021,  </w:t>
        <w:br/>
        <w:t xml:space="preserve">concerning the exclusive control acquisition of the Nutrisens group by the company Sagard, formalized by  </w:t>
        <w:br/>
        <w:t xml:space="preserve">a purchase agreement dated January 24,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Nutrisens group by the company  </w:t>
        <w:br/>
        <w:t xml:space="preserve">Sagard. The Nutrisens group is active in the agri-food sector. It develops and  </w:t>
        <w:br/>
        <w:t xml:space="preserve">markets products of nutritional and dietary solutions. The operation constitutes  </w:t>
        <w:br/>
        <w:t xml:space="preserve">a concentration operation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competence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21-037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