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https://www.autoritedelaconcurrence.fr/fr/decision-de-controle-des-concentrations/relative-la-prise-de-controle-exclusif-du-groupe-odigo-par</w:t>
      </w:r>
    </w:p>
    <w:p>
      <w:r>
        <w:t>Pages translated : 2</w:t>
      </w:r>
    </w:p>
    <w:p/>
    <w:p>
      <w:r>
        <w:rPr>
          <w:b/>
        </w:rPr>
        <w:t>[Pages 1–2]</w:t>
      </w:r>
    </w:p>
    <w:p>
      <w:r>
        <w:t xml:space="preserve">FRENCH REPUBLIC  </w:t>
        <w:br/>
        <w:t xml:space="preserve">Decision No. 20-DCC-166 of November 23, 2020  </w:t>
        <w:br/>
        <w:t xml:space="preserve">regarding the exclusive control acquisition of the Odigo group by  </w:t>
        <w:br/>
        <w:t xml:space="preserve">Apax Partners  </w:t>
        <w:br/>
        <w:t xml:space="preserve">The Competition Authority,  </w:t>
        <w:br/>
        <w:t xml:space="preserve">Having regard to the complete notification file sent to the mergers department on November 5, 2020,  </w:t>
        <w:br/>
        <w:t xml:space="preserve">concerning the exclusive control acquisition of the company Prosodie by Apax Partners, formalized by  </w:t>
        <w:br/>
        <w:t xml:space="preserve">a purchase promise dated September 16,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Apax Partners of the  </w:t>
        <w:br/>
        <w:t xml:space="preserve">company Prosodie, the head company of the Odigo group, both active in the software markets for  </w:t>
        <w:br/>
        <w:t xml:space="preserve">businesses. It constitutes a concentration operation within the meaning of Article L. 430-1 of the Commercial Code. Given the turnover achieved by the companies concerned, the operation does not fall under the jurisdiction of the European Union. On the other hand, the control thresholds mentioned in point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20-201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