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https://www.autoritedelaconcurrence.fr/fr/decision-de-controle-des-concentrations/relative-la-prise-de-controle-exclusif-du-groupe-ofi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11-DCC-86 of June 9, 2011  </w:t>
        <w:br/>
        <w:t xml:space="preserve">regarding the exclusive control of the OFI Private Equity group  </w:t>
        <w:br/>
        <w:t xml:space="preserve">by the company Eurazeo SA  </w:t>
        <w:br/>
        <w:t xml:space="preserve">The Competition Authority,  </w:t>
        <w:br/>
        <w:t xml:space="preserve">Having regard to the notification file submitted in full to the merger service on May 10, 2011,  </w:t>
        <w:br/>
        <w:t xml:space="preserve">regarding the exclusive control of the OFI Private Equity group (hereinafter "OFI") by the  </w:t>
        <w:br/>
        <w:t xml:space="preserve">investment company Eurazeo SA (hereinafter "Eurazeo"), formalized by a memorandum of  </w:t>
        <w:br/>
        <w:t xml:space="preserve">understanding dated April 21, 2011;  </w:t>
        <w:br/>
        <w:t xml:space="preserve">Having regard to Book IV of the Commercial Code relating to price freedom and competition, and  </w:t>
        <w:br/>
        <w:t xml:space="preserve">notably its Articles L. 430-1 to L. 430-7;  </w:t>
        <w:br/>
        <w:t xml:space="preserve">Adopts the following decision:  </w:t>
        <w:br/>
        <w:t xml:space="preserve">I. The companies concerned and the operation  </w:t>
        <w:br/>
        <w:t xml:space="preserve">1. Eurazeo is a publicly traded portfolio management company in Europe, active in the private  </w:t>
        <w:br/>
        <w:t xml:space="preserve">equity sector. It is owned by several individuals and legal entities, with no shareholder holding  </w:t>
        <w:br/>
        <w:t xml:space="preserve">control. Through its funds, Eurazeo controls several companies active in various sectors,  </w:t>
        <w:br/>
        <w:t xml:space="preserve">including paid parking management (Apcoa), vehicle rental (Europcar), laundry and sanitary  </w:t>
        <w:br/>
        <w:t xml:space="preserve">equipment rental services (Elis), and real estate (ANF Immobilier).  </w:t>
        <w:br/>
        <w:t xml:space="preserve">2. OFI is a group consisting of the company OFI Private Equity Capital SCA, its general partner  </w:t>
        <w:br/>
        <w:t xml:space="preserve">OFI Private Equity Commandité SAS, and its company OFI Private Equity SA. The group invests  </w:t>
        <w:br/>
        <w:t xml:space="preserve">in various companies and holds stakes in the hairdressing sector (Dessange), catering (Léon de  </w:t>
        <w:br/>
        <w:t xml:space="preserve">Bruxelles), packaging solutions (Gault et Frémont), scientific analysis (Fondis Electronic),  </w:t>
        <w:br/>
        <w:t xml:space="preserve">electromechanics (Mors &amp; Smitt), and industrial solutions for sealing products (Financière de  </w:t>
        <w:br/>
        <w:t xml:space="preserve">Siam).  </w:t>
        <w:br/>
        <w:t xml:space="preserve">3. The notified operation consists of the acquisition by Eurazeo SA of exclusive control of the OFI  </w:t>
        <w:br/>
        <w:t xml:space="preserve">group. The notified operation thus results in the exclusive control of OFI by Eurazeo, and  </w:t>
        <w:br/>
        <w:t>constitutes a concentration within the meaning of Article L. 430-1 of the Commercial Code.</w:t>
      </w:r>
    </w:p>
    <w:p>
      <w:r>
        <w:t xml:space="preserve">4. The companies concerned together achieved a consolidated worldwide turnover excluding taxes of  </w:t>
        <w:br/>
        <w:t xml:space="preserve">more than 150 million euros in the last closed financial year (Eurazeo: 3.8 billion euros for the  </w:t>
        <w:br/>
        <w:t xml:space="preserve">financial year ended December 31, 2010; OFI: 330.3 million euros for the same financial year).  </w:t>
        <w:br/>
        <w:t xml:space="preserve">Each of these companies achieved a turnover in France exceeding 50 million euros (Eurazeo:  </w:t>
        <w:br/>
        <w:t xml:space="preserve">[...] billion euros for the financial year ended December 31, 2010; OFI: [...] million euros for the  </w:t>
        <w:br/>
        <w:t xml:space="preserve">same financial year). Given these turnovers, the operation does not have a Community dimension.  </w:t>
        <w:br/>
        <w:t xml:space="preserve">However, the control thresholds mentioned in I of Article L. 430-2 of the Commercial Code are  </w:t>
        <w:br/>
        <w:t xml:space="preserve">exceeded. This operation is therefore subject to the provisions of Articles L. 430-3 and following of  </w:t>
        <w:br/>
        <w:t xml:space="preserve">the Commercial Code relating to economic concentration.  </w:t>
        <w:br/>
        <w:t xml:space="preserve">II. Definition of the relevant markets  </w:t>
        <w:br/>
        <w:t xml:space="preserve">5. Eurazeo and OFI are both active in the asset management market and, more specifically, in the  </w:t>
        <w:br/>
        <w:t xml:space="preserve">private equity segment. Since none of the companies in which Eurazeo has invested and which it  </w:t>
        <w:br/>
        <w:t xml:space="preserve">controls directly or indirectly are active in the same markets, nor in an upstream, downstream, or  </w:t>
        <w:br/>
        <w:t xml:space="preserve">related market to those in which the companies in which OFI has invested and which it controls  </w:t>
        <w:br/>
        <w:t xml:space="preserve">are active, no other market than that of asset management is concerned by the operation.  </w:t>
        <w:br/>
        <w:t xml:space="preserve">A. DEFINITION OF PRODUCT MARKETS  </w:t>
        <w:br/>
        <w:t xml:space="preserve">6. The asset management market concerns the services of managing securities held by companies  </w:t>
        <w:br/>
        <w:t xml:space="preserve">and institutional clients. The decision-making practice has considered distinguishing among these  </w:t>
        <w:br/>
        <w:t xml:space="preserve">services the activities of portfolio management, mutual fund management, and private equity:  </w:t>
        <w:br/>
        <w:t xml:space="preserve">- portfolio management (excluding real estate assets and excluding UCITS) consists of  </w:t>
        <w:br/>
        <w:t xml:space="preserve">optimizing the financial return of a portfolio of securities (stocks and/or bonds) held by a client;  </w:t>
        <w:br/>
        <w:t xml:space="preserve">- mutual fund management of the type UCITS (which are divided into SICAV and FCP) is an  </w:t>
        <w:br/>
        <w:t xml:space="preserve">activity that consists of managing this type of collective investment fund on behalf of companies  </w:t>
        <w:br/>
        <w:t xml:space="preserve">and institutions;  </w:t>
        <w:br/>
        <w:t xml:space="preserve">- private equity activity consists of an investor entering the capital of unlisted companies that  </w:t>
        <w:br/>
        <w:t xml:space="preserve">need an equity injection. Several forms of intervention can be distinguished, namely "venture  </w:t>
        <w:br/>
        <w:t xml:space="preserve">capital," intended to finance the start-up of new companies, "development capital," to finance the  </w:t>
        <w:br/>
        <w:t xml:space="preserve">development of the company, "transmission capital" (or "LBO") intended to support the  </w:t>
        <w:br/>
        <w:t xml:space="preserve">transmission or sale of the company, and "turnaround capital" to assist in the recovery of a  </w:t>
        <w:br/>
        <w:t xml:space="preserve">distressed company.  </w:t>
        <w:br/>
        <w:t xml:space="preserve">7. In this case, neither OFI nor Eurazeo are active in the portfolio management segment, and only  </w:t>
        <w:br/>
        <w:t xml:space="preserve">OFI is active in the mutual fund management segment. The activities of OFI and Eurazeo only  </w:t>
        <w:br/>
        <w:t xml:space="preserve">overlap in the private equity segment, on which the effects of this operation will be examined.  </w:t>
        <w:br/>
        <w:t xml:space="preserve">B. GEOGRAPHICAL DEFINITION OF MARKETS  </w:t>
        <w:br/>
        <w:t xml:space="preserve">8. Competition authorities generally consider that the asset management markets have at least a  </w:t>
        <w:br/>
        <w:t xml:space="preserve">European dimension. The exact geographical definition of the markets may nevertheless remain open  </w:t>
        <w:br/>
        <w:t xml:space="preserve">insofar as, regardless of the delimitation adopted, the conclusions of the competitive analysis will  </w:t>
        <w:br/>
        <w:t xml:space="preserve">remain unchanged.  </w:t>
        <w:br/>
        <w:t xml:space="preserve">III. Competitive analysis  </w:t>
        <w:br/>
        <w:t xml:space="preserve">9. In the private equity segment in France, the parties represent [0-5]% of the total amount invested in  </w:t>
        <w:br/>
        <w:t xml:space="preserve">2010. The parties also note the presence in this segment of numerous significant competitors, such as,  </w:t>
        <w:br/>
        <w:t xml:space="preserve">for example, PAI Partners, Wendel, LBO France Gestion, Astorg Partners, Bridgepoint, or Carlyle.  </w:t>
        <w:br/>
        <w:t xml:space="preserve">10. Given all these elements, the operation is not likely to harm competition in the relevant markets.  </w:t>
        <w:br/>
        <w:t xml:space="preserve">DECIDES  </w:t>
        <w:br/>
        <w:t xml:space="preserve">Single Article: The operation notified under number 11-0084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