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https://www.autoritedelaconcurrence.fr/fr/decision-de-controle-des-concentrations/relative-la-prise-de-controle-exclusif-du-groupe-open-par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22-DCC-25 of March 3, 2022  </w:t>
        <w:br/>
        <w:t xml:space="preserve">regarding the exclusive control of the Open group by the company  </w:t>
        <w:br/>
        <w:t xml:space="preserve">Montefiore Investment  </w:t>
        <w:br/>
        <w:t xml:space="preserve">The Competition Authority,  </w:t>
        <w:br/>
        <w:t xml:space="preserve">Having regard to the complete notification file sent to the mergers department on February 15, 2022,  </w:t>
        <w:br/>
        <w:t xml:space="preserve">concerning the exclusive control of the company Groupe Open, the parent company of the Open group,  </w:t>
        <w:br/>
        <w:t xml:space="preserve">by the company Montefiore Investment, formalized by the signing of a memorandum of understanding on  </w:t>
        <w:br/>
        <w:t xml:space="preserve">February 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of the Open group, active in the  </w:t>
        <w:br/>
        <w:t xml:space="preserve">information technology services sector, by the company Montefiore Investment.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22-024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