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https://www.autoritedelaconcurrence.fr/fr/decision-de-controle-des-concentrations/relative-la-prise-de-controle-exclusif-du-groupe-opteven-0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22-DCC-154 of August 25, 2022  </w:t>
        <w:br/>
        <w:t xml:space="preserve">regarding the exclusive control acquisition of the Opteven group by the company  </w:t>
        <w:br/>
        <w:t xml:space="preserve">Apax Partners  </w:t>
        <w:br/>
        <w:t xml:space="preserve">The Competition Authority,  </w:t>
        <w:br/>
        <w:t xml:space="preserve">Having regard to the complete notification file submitted to the mergers department on August 8, 2022,  </w:t>
        <w:br/>
        <w:t xml:space="preserve">concerning the exclusive control acquisition of the Opteven group by the company Apax Partners, formalized  </w:t>
        <w:br/>
        <w:t xml:space="preserve">by a unilateral purchase promise dated June 24,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Apax Partners of the  </w:t>
        <w:br/>
        <w:t xml:space="preserve">Opteven group, active in the sector of assistance services and automobile warranty. It constitutes a  </w:t>
        <w:br/>
        <w:t xml:space="preserve">concentration operation within the meaning of Article L. 430-1 of the Commercial Code.  </w:t>
        <w:br/>
        <w:t xml:space="preserve">Considering the turnover achieved by the concerned companies, 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22-177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