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https://www.autoritedelaconcurrence.fr/fr/decision-de-controle-des-concentrations/relative-la-prise-de-controle-exclusif-du-groupe-opteven</w:t>
      </w:r>
    </w:p>
    <w:p>
      <w:r>
        <w:t>Pages translated : 2</w:t>
      </w:r>
    </w:p>
    <w:p/>
    <w:p>
      <w:r>
        <w:rPr>
          <w:b/>
        </w:rPr>
        <w:t>[Pages 1–2]</w:t>
      </w:r>
    </w:p>
    <w:p>
      <w:r>
        <w:t xml:space="preserve">FRENCH REPUBLIC  </w:t>
        <w:br/>
        <w:t xml:space="preserve">Decision No. 14-DCC-07 of January 15, 2014  </w:t>
        <w:br/>
        <w:t xml:space="preserve">regarding the exclusive control acquisition of the Opteven group by  </w:t>
        <w:br/>
        <w:t xml:space="preserve">Capzacap 3  </w:t>
        <w:br/>
        <w:t xml:space="preserve">The Competition Authority,  </w:t>
        <w:br/>
        <w:t xml:space="preserve">Having regard to the complete notification file submitted to the mergers department on December 20, 2013, concerning the exclusive control acquisition of the Opteven group by the investment fund Capzacap 3, formalized by a securities transfer agreement dated December 16,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Opteven group, primarily active in France in the sectors of marketed assistance services, either in the form of insurance products or in the form of service provisions, to a clientele of insurers, credit companies, and long-term rental companies, as well as automobile warranty services, by the professional private equity fund Capzacap 3. It constitutes a concentration operation within the meaning of Article L. 430-1 of the Commercial Code. Given the turnover achieved by the companies concerned, the operation does not have a community dimension. On the other hand, the relevant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13-250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