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https://www.autoritedelaconcurrence.fr/fr/decision-de-controle-des-concentrations/relative-la-prise-de-controle-exclusif-du-groupe-oralia-par</w:t>
      </w:r>
    </w:p>
    <w:p>
      <w:r>
        <w:t>Pages translated : 5</w:t>
      </w:r>
    </w:p>
    <w:p/>
    <w:p>
      <w:r>
        <w:rPr>
          <w:b/>
        </w:rPr>
        <w:t>[Pages 1–3]</w:t>
      </w:r>
    </w:p>
    <w:p>
      <w:r>
        <w:t>FRENCH REPUBLIC</w:t>
        <w:br/>
        <w:t>Decision No. 14-DCC-33 of March 11, 2014</w:t>
        <w:br/>
        <w:t>regarding the exclusive control of the Oralia group</w:t>
        <w:br/>
        <w:t>by the Nexity group (BPCE group)</w:t>
        <w:br/>
        <w:t>The Competition Authority,</w:t>
        <w:br/>
        <w:t>Having regard to the notification file submitted in full to the merger service on February 4, 2014,</w:t>
        <w:br/>
        <w:t>regarding the exclusive control of the Oralia group by Nexity SA, formalized by</w:t>
        <w:br/>
        <w:t>an acquisition protocol of the Oralia group concluded on December 20, 2013;</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companies concerned and the operation</w:t>
        <w:br/>
        <w:t>1. Nexity SA (hereinafter "Nexity") is the parent company of the Nexity group active in the sectors of</w:t>
        <w:br/>
        <w:t>real estate development and services in France and Europe. The Nexity group is</w:t>
        <w:br/>
        <w:t>notably active in the real estate services sector for individuals and professionals (property management, condominium management, management of student residences,</w:t>
        <w:br/>
        <w:t>management of purchase/sale and rental transactions, consulting and property management, and</w:t>
        <w:br/>
        <w:t>brokerage in real estate insurance) through its subsidiaries and two franchise networks, Century 21 and Guy Hoquet. Nexity SA is controlled by the Banque Populaire Caisse d’Épargne group1 (hereinafter "BPCE"), which engages in all banking and insurance activities.</w:t>
        <w:br/>
        <w:t>2. Oralia Partenaires (hereinafter "Oralia") is the parent structure of the Oralia group, which specializes in real estate services for individuals, notably property management, condominium management, as well as intermediation in purchase/sale and rental transactions. The group also marginally engages in co-brokerage in real estate insurance products for individuals. Oralia has a network of</w:t>
        <w:br/>
        <w:t>27 agencies in France, primarily in Paris and Lyon.</w:t>
        <w:br/>
        <w:t>3. Oralia Partenaires is currently jointly controlled by BPCE and Mr. Serge Déglise through the company DS Finances. Indeed, BPCE indirectly holds approximately […] % of the capital and Mr. Serge Déglise, approximately […] %. Mr. Déglise, who is the president of Oralia, is not a member of the supervisory board of this company and therefore does not exercise a veto right on decisions relating to the annual budget and investments exceeding 2 million euros, which fall solely under the competence of BPCE. However, Mr. Serge Déglise has multiple voting rights (amounting to […] %) for all ordinary collective decisions (except for those relating to the appointment and dismissal of members of the supervisory board) and notably the approval of annual accounts and the appointment and dismissal of his position as president. In this capacity, he has, under Article 14.8 of the company's bylaws, the possibility to make all decisions that are not subject to the approval of the supervisory board, including strategic decisions relating to Oralia's commercial policy. BPCE and Mr. Serge Déglise are therefore able to jointly exercise a decisive influence over Oralia Partenaires prior to the notified operation.</w:t>
        <w:br/>
        <w:t>4. The notified operation consists of the acquisition by Nexity SA of 100% of the capital and voting rights of Oralia Partenaires. As it results in the transition from joint control to exclusive control of the Oralia group by Nexity SA, the notified operation constitutes a concentration operation within the meaning of Article L. 430-1 of the Commercial Code.</w:t>
        <w:br/>
        <w:t>5. The companies concerned have together achieved a consolidated turnover excluding taxes worldwide of more than 150 million euros in the last closed financial year (BPCE: 52.1 billion euros for the financial year closed on December 31, 2012; Oralia Group: […] euros for the same financial year). Each of these companies has achieved, in France, a turnover exceeding 50 million euros (BPCE: 46.3 billion euros for the financial year closed on December 31, 2012; Oralia Group: […] euros for the same financial year). Given these turnover figures, the operation does not fall under the competence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6. The parties to the operation are simultaneously present in the sector of real estate services for individuals.</w:t>
        <w:br/>
        <w:t>7. They are also present in real estate insurance brokerage. However, since this activity represents less than […] euros of turnover for Oralia in a market of nearly one billion euros, it will not be examined in the context of this decision.</w:t>
      </w:r>
    </w:p>
    <w:p>
      <w:r>
        <w:t>A. REAL ESTATE SERVICES MARKETS</w:t>
        <w:br/>
        <w:t>8. National2 and European3 decision-making practice has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in the premises (offices, commercial premises, and other activity premises), and (iv) the nature of the services or goods offered.</w:t>
        <w:br/>
        <w:t>9. Regarding segmentation according to the nature of the services or goods offered, decision-making practice4 has considered distinguishing:</w:t>
        <w:br/>
        <w:t>- real estate development, which includes construction and sale activities of real estate properties;</w:t>
        <w:br/>
        <w:t>- asset management for one's own account;</w:t>
        <w:br/>
        <w:t>- asset management for third parties;</w:t>
        <w:br/>
        <w:t>- property administration, which covers the activities of managing properties on behalf of owners and can be segmented between property management and condominium management;</w:t>
        <w:br/>
        <w:t>- real estate appraisal;</w:t>
        <w:br/>
        <w:t>- real estate consulting;</w:t>
        <w:br/>
        <w:t>- intermediation in real estate transactions, for which intermediation in purchase/sale operations is distinguished from intermediation in rental operations.</w:t>
        <w:br/>
        <w:t>10. In this case, the parties to the operation are simultaneously active in the markets of residential condominium management, residential property management, intermediation in the sale of residential properties, and intermediation in the rental of residential properties.</w:t>
        <w:br/>
        <w:t>11. There is no need to challenge these segmentations in the context of this operation.</w:t>
        <w:br/>
        <w:t>B. GEOGRAPHICAL MARKETS</w:t>
        <w:br/>
        <w:t>12. Decision-making practice considers that most real estate services markets are of sub-national dimension, while leaving the question open. Regarding Île-de-France, decision-making practice5 has noted that "the Paris region has particular properties of continuity of urban areas. Indeed, there is a vast, highly urbanized, and homogeneous area covering most of Île-de-France, served by a comprehensive transport network;</w:t>
      </w:r>
    </w:p>
    <w:p>
      <w:r>
        <w:rPr>
          <w:b/>
        </w:rPr>
        <w:t>[Pages 4–5]</w:t>
      </w:r>
    </w:p>
    <w:p>
      <w:r>
        <w:t>the inhabitants are always able to arbitrate between different parts of the region. This substitutability leads to a convergence in prices. Therefore, the regional level is the most appropriate for competitive analysis." For other regions, competition authorities have conducted their competitive analyses at the regional or sub-regional level. They have thus examined the effects of an operation at the level of cities, urban areas, departments, or the region.</w:t>
      </w:r>
    </w:p>
    <w:p>
      <w:r>
        <w:t>13. In any case, the question of the exact delineation of the geographical markets in the real estate sector will be left open because the conclusions of the competitive analysis would remain unchanged regardless of the solutions adopted.</w:t>
      </w:r>
    </w:p>
    <w:p>
      <w:r>
        <w:t>14. In this case, Oralia has a network of 27 agencies, including twelve located in Paris, nine in the Rhône department (69) (six in Lyon and one in Tarare, Abresle, and Villefranche-sur-Saône), three in Grenoble, and one in Bordeaux, Marseille, and Dijon. The analysis will be conducted at both the national level, at the level of each concerned city, as well as at the departmental level for Rhône.</w:t>
      </w:r>
    </w:p>
    <w:p>
      <w:r>
        <w:t>III. Competitive Analysis</w:t>
        <w:br/>
        <w:t>15. The present operation consists of the transition from joint control to exclusive control of Oralia. On previous occasions, competition authorities, both national and community, have emphasized that this change in the nature of control is generally not likely to significantly alter the conditions of competition, except in more complex cases involving parties that were in a competitive situation prior to the concentration. In this case, Nexity and Oralia were active in the same product markets before the concentration. In this context, the fact that a company remains solely able to exert a decisive influence on the target, without having to contend with potentially differing interests of other partners and to cooperate with them, may alter its incentives and produce effects on the competitive structure of the market.</w:t>
      </w:r>
    </w:p>
    <w:p>
      <w:r>
        <w:t>16. Furthermore, insofar as Nexity controls the companies Century 21 France and Guy Hoquet l’Immobilier, which lead two franchise networks, it is appropriate to question the consideration of the market shares of these two networks in the competitive analysis. During the examination of Nexity's acquisition by the Caisse d'Epargne group, the Minister of Economy considered that the companies Century 21 France and Guy Hoquet l’Immobilier did not exercise control over the members of their franchise network, as both networks enjoyed total autonomy in determining their commercial policy. In 2009, the Competition Authority confirmed the Minister's analysis, considering that "the actual autonomy of franchisees from the heads of networks justified that their market shares not be taken into account in the analysis." In this case, the examination of the franchise contracts of the Century 21 and Guy Hoquet networks provided by the parties in support of the notification of the present operation showed that the analysis previously made by the Minister and the Competition Authority was still relevant.</w:t>
      </w:r>
    </w:p>
    <w:p>
      <w:r>
        <w:t>17. At the national level, the market shares of the new entity will be below [5-10]% in each of the concerned real estate services markets for individuals, with an increment of less than [0-5]%. The parties to the operation indicate that the sector leader is the Foncia group with a network of over 600 agencies. They will also face competition from the Urbania–Adyal Citya, Procivis, Sergic, Akeris, Loiselet &amp; Daigremont, and Billon Immobilier groups.</w:t>
      </w:r>
    </w:p>
    <w:p>
      <w:r>
        <w:t>18. At the sub-national level, the parties are simultaneously active in the cities of Bordeaux, Grenoble, Marseille, Dijon, Paris, Lyon, and in the Rhône department (6 agencies in Lyon and one in Tarare, Abresle, and Villefranche-sur-Saône). For all these areas, the market share of the new entity will remain below [20-30]% in each of the concerned real estate services markets for individuals. The parties note that this sector is highly fragmented and that they face, in each area, in addition to the competition from integrated groups, competition from a multitude of independent local operators who exert real competitive pressure due to, among other things, their proximity to clients and their knowledge of the local market. Thus, in Grenoble, where the market share of the new entity would be the highest ([20-30]% in the condominium management market), the parties face competition from over 100 real estate agencies, more than 40 of which offer condominium management services.</w:t>
      </w:r>
    </w:p>
    <w:p>
      <w:r>
        <w:t>19. It follows from the above that the operation is not likely to harm competition in the concerned markets.</w:t>
      </w:r>
    </w:p>
    <w:p>
      <w:r>
        <w:t>DECIDES</w:t>
        <w:br/>
        <w:t>Sole Article: The operation notified under number 14-017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