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https://www.autoritedelaconcurrence.fr/fr/decision-de-controle-des-concentrations/relative-la-prise-de-controle-exclusif-du-groupe-ovalt-par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26-DCC-17 of January 20, 2026  </w:t>
        <w:br/>
        <w:t xml:space="preserve">regarding the exclusive control acquisition  </w:t>
        <w:br/>
        <w:t xml:space="preserve">of the Ovalt group by the CEME group  </w:t>
        <w:br/>
        <w:t xml:space="preserve">The Competition Authority,  </w:t>
        <w:br/>
        <w:t xml:space="preserve">Having regard to the complete notification file sent to the mergers department on January 2, 2026,  </w:t>
        <w:br/>
        <w:t xml:space="preserve">concerning the exclusive control acquisition of the Ovalt group by the CEME group, formalized by an  </w:t>
        <w:br/>
        <w:t xml:space="preserve">acquisition contract dated December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all shares and voting rights of the  </w:t>
        <w:br/>
        <w:t xml:space="preserve">Ovalt Group by the CEME group. The sectors concerned are those of electrical engineering, climate engineering, and automation of industrial processes. The operation constitutes a  </w:t>
        <w:br/>
        <w:t xml:space="preserve">concentration within the meaning of Article L. 430-1 of the Commercial Code. Given the revenues generated by the companies involved, the operation does not fall under the jurisdiction of  </w:t>
        <w:br/>
        <w:t xml:space="preserve">the European Union. However,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26-001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