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https://www.autoritedelaconcurrence.fr/fr/decision-de-controle-des-concentrations/relative-la-prise-de-controle-exclusif-du-groupe-paris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22-DCC-165 of September 8, 2022  </w:t>
        <w:br/>
        <w:t xml:space="preserve">regarding the exclusive control acquisition of the Paris Society group by the  </w:t>
        <w:br/>
        <w:t xml:space="preserve">Accor group  </w:t>
        <w:br/>
        <w:t xml:space="preserve">The Competition Authority,  </w:t>
        <w:br/>
        <w:t xml:space="preserve">Having regard to the complete notification file sent to the mergers department on August 23, 2022,  </w:t>
        <w:br/>
        <w:t xml:space="preserve">concerning the exclusive control acquisition of Noctis Event S.A.S., the parent company of the Paris Society group, by Accor S.A., the parent company of the Accor group, formalized by a unilateral promise of sale dated July 1, 2021;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transaction consists of the exclusive control acquisition by the Accor group of the Paris Society group, active in the sectors of commercial catering, events, and hospitality. It constitutes a concentration operation within the meaning of Article L. 430-1 of the Commercial Code. Given the revenues generated by the companies involved,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notified operation under number 22-169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