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https://www.autoritedelaconcurrence.fr/fr/decision-de-controle-des-concentrations/relative-la-prise-de-controle-exclusif-du-groupe-parisot</w:t>
      </w:r>
    </w:p>
    <w:p>
      <w:r>
        <w:t>Pages translated : 7</w:t>
      </w:r>
    </w:p>
    <w:p/>
    <w:p>
      <w:r>
        <w:rPr>
          <w:b/>
        </w:rPr>
        <w:t>[Pages 1–3]</w:t>
      </w:r>
    </w:p>
    <w:p>
      <w:r>
        <w:t xml:space="preserve">FRENCH REPUBLIC  </w:t>
        <w:br/>
        <w:t xml:space="preserve">Decision No. 11-DCC-10 of January 25, 2011  </w:t>
        <w:br/>
        <w:t xml:space="preserve">regarding the exclusive control of the Parisot group by  </w:t>
        <w:br/>
        <w:t xml:space="preserve">Windhurst Industries and the joint control of Windhurst  </w:t>
        <w:br/>
        <w:t xml:space="preserve">Industries by the FSI  </w:t>
        <w:br/>
        <w:t xml:space="preserve">The Competition Authority,  </w:t>
        <w:br/>
        <w:t xml:space="preserve">Having regard to the notification file submitted in full to the merger service on  </w:t>
        <w:br/>
        <w:t xml:space="preserve">December 21, 2010, concerning the exclusive control of the Parisot group by Windhurst  </w:t>
        <w:br/>
        <w:t xml:space="preserve">Industries, formalized by an investment protocol dated June 18, 2010, as well as the  </w:t>
        <w:br/>
        <w:t xml:space="preserve">joint control of Windhurst Industries by the Strategic Investment Fund,  </w:t>
        <w:br/>
        <w:t xml:space="preserve">formalized by an investment protocol dated November 15, 2010;  </w:t>
        <w:br/>
        <w:t xml:space="preserve">Having regard to Book IV of the Commercial Code relating to price freedom and  </w:t>
        <w:br/>
        <w:t xml:space="preserve">competition, and in particular its Articles L. 430-1 to L. 430-7;  </w:t>
        <w:br/>
        <w:t xml:space="preserve">Having regard to the supplementary elements transmitted by the parties during the  </w:t>
        <w:br/>
        <w:t xml:space="preserve">investigation;  </w:t>
        <w:br/>
        <w:t xml:space="preserve">Adopts the following decision:  </w:t>
        <w:br/>
        <w:t xml:space="preserve">I. The companies concerned and the operation  </w:t>
        <w:br/>
        <w:t xml:space="preserve">A. THE COMPANIES  </w:t>
        <w:br/>
        <w:t xml:space="preserve">1. THE CAISSE DES DÉPÔTS ET CONSIGNATIONS  </w:t>
        <w:br/>
        <w:t xml:space="preserve">1. The CDC is a public establishment with a special legal status, governed by Articles L.  </w:t>
        <w:br/>
        <w:t xml:space="preserve">518-2 and following of the Monetary and Financial Code, which fulfills missions of  </w:t>
        <w:br/>
        <w:t xml:space="preserve">general interest in support of public policies conducted by the State and local  </w:t>
        <w:br/>
        <w:t xml:space="preserve">authorities and which carries out activities open to competition. These are grouped  </w:t>
        <w:br/>
        <w:t xml:space="preserve">around four sectors: (i) real estate through the company Icade (hereinafter "Icade")  </w:t>
        <w:br/>
        <w:t xml:space="preserve">and the Société Nationale Immobilière (hereinafter "SNI"), (ii) the environment, (iii)  </w:t>
        <w:br/>
        <w:t>services, (iv) the development of SMEs and private equity.</w:t>
      </w:r>
    </w:p>
    <w:p>
      <w:r>
        <w:t xml:space="preserve">2. It is within the framework of this latter sector that the Strategic Investment Fund  </w:t>
        <w:br/>
        <w:t xml:space="preserve">(hereinafter "FSI") operates, a public limited company under French law controlled by  </w:t>
        <w:br/>
        <w:t xml:space="preserve">the CDC1, which holds 51% of its capital, the remainder being held by the French State.  </w:t>
        <w:br/>
        <w:t xml:space="preserve">The purpose of the FSI is to take equity stakes in companies whose growth projects are  </w:t>
        <w:br/>
        <w:t xml:space="preserve">deemed to enhance France's competitiveness. It is thus present in the capital of various  </w:t>
        <w:br/>
        <w:t xml:space="preserve">companies including notably SAUR, STX France Cruise, Eutelsat Communications, TDF,  </w:t>
        <w:br/>
        <w:t xml:space="preserve">Eiffage, France Telecom, and Aéroports de Paris.  </w:t>
        <w:br/>
        <w:t xml:space="preserve">2. WINDHURST INDUSTRIES  </w:t>
        <w:br/>
        <w:t xml:space="preserve">3. Windhurst Industries is a company of the Windhurst group whose parent holding  </w:t>
        <w:br/>
        <w:t xml:space="preserve">company, Windhurst Organisation et Conseil (hereinafter "WOC"), has its capital  </w:t>
        <w:br/>
        <w:t xml:space="preserve">entirely held by Mr. François-Denis Poitrinal. Windhurst Industries is active in the  </w:t>
        <w:br/>
        <w:t xml:space="preserve">manufacturing and distribution of disposable tableware and cardboard food packaging  </w:t>
        <w:br/>
        <w:t xml:space="preserve">through its subsidiary Tifany Industries. Windhurst Industries is also active in the  </w:t>
        <w:br/>
        <w:t xml:space="preserve">manufacturing and marketing of movable partitions intended exclusively for office real  </w:t>
        <w:br/>
        <w:t xml:space="preserve">estate through its subsidiary Groupe Clestra Hauserman.  </w:t>
        <w:br/>
        <w:t xml:space="preserve">4. Furthermore, WOC, the holding company of the Windhurst group, directly controls  </w:t>
        <w:br/>
        <w:t xml:space="preserve">the company B2S, a leader in the French market for call centers.  </w:t>
        <w:br/>
        <w:t xml:space="preserve">3. THE PARISOT GROUP  </w:t>
        <w:br/>
        <w:t xml:space="preserve">5. The Parisot group is active in the manufacturing and marketing of furniture. The  </w:t>
        <w:br/>
        <w:t xml:space="preserve">distribution of the group's products is primarily through large specialized retailers such  </w:t>
        <w:br/>
        <w:t xml:space="preserve">as Conforama, But, Fly, or Alinéa (70% of its turnover). The remainder of its products is  </w:t>
        <w:br/>
        <w:t xml:space="preserve">distributed through DIY superstores ("GSB"), large food retailers, or by mail-order  </w:t>
        <w:br/>
        <w:t xml:space="preserve">companies.  </w:t>
        <w:br/>
        <w:t xml:space="preserve">6. The Parisot group is also present in the markets for the manufacturing of particle  </w:t>
        <w:br/>
        <w:t xml:space="preserve">boards. Approximately 60% of the boards produced by the group are intended for the  </w:t>
        <w:br/>
        <w:t xml:space="preserve">furniture industry (of which 65% are allocated to the Parisot group), 10% for  </w:t>
        <w:br/>
        <w:t xml:space="preserve">construction, and 30% are sold to GSBs.  </w:t>
        <w:br/>
        <w:t xml:space="preserve">7. Prior to the present operation, the capital of the company Saint Loup Finance, the  </w:t>
        <w:br/>
        <w:t xml:space="preserve">parent holding company of the Parisot group, was entirely held by family partners.  </w:t>
        <w:br/>
        <w:t xml:space="preserve">B. THE OPERATION  </w:t>
        <w:br/>
        <w:t xml:space="preserve">8. The investment protocol dated November 15, 2010, provides for the acquisition by the  </w:t>
        <w:br/>
        <w:t xml:space="preserve">FSI of 16.41% of the capital and voting rights of the company Windhurst Industries.  </w:t>
        <w:br/>
        <w:t xml:space="preserve">Upon reading the protocol, it appears that the FSI will hold, after the completion of the  </w:t>
        <w:br/>
        <w:t xml:space="preserve">operation, rights that exceed what is normally granted to minority shareholders in order  </w:t>
        <w:br/>
        <w:t xml:space="preserve">to protect their financial interests: notably a veto right on the approval of the annual  </w:t>
        <w:br/>
        <w:t xml:space="preserve">budget as well as on the modification of the business plan of Windhurst Industries.  </w:t>
        <w:br/>
        <w:t xml:space="preserve">Consequently, it should be considered that following the notified concentration, the FSI  </w:t>
        <w:br/>
        <w:t xml:space="preserve">will be able to exercise decisive influence over Windhurst Industries, granting it control  </w:t>
        <w:br/>
        <w:t xml:space="preserve">over the company exercised jointly with WOC, the parent holding company of the  </w:t>
        <w:br/>
        <w:t xml:space="preserve">Windhurst group.  </w:t>
        <w:br/>
        <w:t xml:space="preserve">9. The investment protocol dated June 18, 2010, provides for the acquisition by  </w:t>
        <w:br/>
        <w:t xml:space="preserve">Windhurst Industries of 51% of the capital and voting rights of the company Saint Loup  </w:t>
        <w:br/>
        <w:t xml:space="preserve">Finance, the parent holding company of the Parisot group, with the remaining capital  </w:t>
        <w:br/>
        <w:t xml:space="preserve">being equally divided among the family partners. Upon reading the draft shareholders'  </w:t>
        <w:br/>
        <w:t xml:space="preserve">agreement, it appears that Windhurst Industries will exercise exclusive control over  </w:t>
        <w:br/>
        <w:t xml:space="preserve">Saint Loup Finance.  </w:t>
        <w:br/>
        <w:t xml:space="preserve">10. Regarding series acquisitions, the European Commission specifies in its consolidated  </w:t>
        <w:br/>
        <w:t xml:space="preserve">communication2 that these can be assimilated to a single concentration when "Company A  </w:t>
        <w:br/>
        <w:t xml:space="preserve">acquires control of Company B provided that B has previously acquired or acquires  </w:t>
        <w:br/>
        <w:t xml:space="preserve">simultaneously Company C." In this case, the investment protocol between the FSI and  </w:t>
        <w:br/>
        <w:t xml:space="preserve">the Windhurst group of November 15, 2010, provides among the suspensive conditions for  </w:t>
        <w:br/>
        <w:t xml:space="preserve">the completion of the operation: "the subscription by Windhurst Industries to shares  </w:t>
        <w:br/>
        <w:t xml:space="preserve">representing 51% of the capital and voting rights of the company Saint Loup Finance  </w:t>
        <w:br/>
        <w:t xml:space="preserve">[...]". The protocol also specifies that the equity stakes of the FSI in the capital of  </w:t>
        <w:br/>
        <w:t xml:space="preserve">Windhurst Industries and of Windhurst Industries in the capital of Saint Loup Finance  </w:t>
        <w:br/>
        <w:t xml:space="preserve">must be realized simultaneously. Consequently, it should be considered that these two  </w:t>
        <w:br/>
        <w:t xml:space="preserve">operations constitute a single concentration.  </w:t>
        <w:br/>
        <w:t xml:space="preserve">11. Insofar as it results in the exclusive control of the Parisot group by Windhurst  </w:t>
        <w:br/>
        <w:t xml:space="preserve">Industries and the joint control of Windhurst Industries by the FSI, the operation  </w:t>
        <w:br/>
        <w:t xml:space="preserve">constitutes a concentration within the meaning of Article L.430-1 of the Commercial  </w:t>
        <w:br/>
        <w:t xml:space="preserve">Code. The companies concerned together achieve a total worldwide turnover of more than  </w:t>
        <w:br/>
        <w:t xml:space="preserve">5 billion euros (CDC: […] billion euros for the fiscal year ending December 31, 2009;  </w:t>
        <w:br/>
        <w:t xml:space="preserve">Windhurst group: 204 million euros for the same year; Parisot group: 255 million euros  </w:t>
        <w:br/>
        <w:t xml:space="preserve">for the same year). Two of them have individually achieved, within the Community, a  </w:t>
        <w:br/>
        <w:t xml:space="preserve">turnover exceeding 250 million euros (CDC: […] billion euros for the fiscal year ending  </w:t>
        <w:br/>
        <w:t xml:space="preserve">December 31, 2009; Parisot group: 250.7 million euros for the same year). Given these  </w:t>
        <w:br/>
        <w:t xml:space="preserve">turnover figures, the thresholds set by Article 1, paragraph 2, a) and b) of Council  </w:t>
        <w:br/>
        <w:t xml:space="preserve">Regulation (EC) No. 139/2004 of January 20, 2004, are met. Nevertheless, since the CDC,  </w:t>
        <w:br/>
        <w:t xml:space="preserve">the Windhurst group, and the Parisot group generate more than two-thirds of their  </w:t>
        <w:br/>
        <w:t xml:space="preserve">turnover in France, the operation is not of Community dimension. Consequently, the  </w:t>
        <w:br/>
        <w:t xml:space="preserve">present operation is subject to the provisions of Articles L. 430-3 and following of the  </w:t>
        <w:br/>
        <w:t xml:space="preserve">Commercial Code relating to economic concentration.  </w:t>
        <w:br/>
        <w:t xml:space="preserve">II. Delimitation of relevant markets  </w:t>
        <w:br/>
        <w:t xml:space="preserve">12. The companies concerned by the present operation are not active in the same markets.  </w:t>
        <w:br/>
        <w:t xml:space="preserve">2 Consolidated communication on the competence of the Commission under Council Regulation (EC) No. 139/2004 on the control of  </w:t>
        <w:br/>
        <w:t xml:space="preserve">concentrations between undertakings, paragraph 46.  </w:t>
        <w:br/>
        <w:t>3</w:t>
      </w:r>
    </w:p>
    <w:p>
      <w:r>
        <w:rPr>
          <w:b/>
        </w:rPr>
        <w:t>[Pages 4–6]</w:t>
      </w:r>
    </w:p>
    <w:p>
      <w:r>
        <w:t>13. Nevertheless, the Parisot group is present in the upstream markets of the manufacturing and distribution of particle boards. These boards are likely to be used downstream for the production of modular partitions, an activity carried out by the Windhurst group, as well as for the fitting and manufacturing of furniture, a sector in which the CDC is present. Consequently, these different markets will be considered in the analysis of vertical effects.</w:t>
      </w:r>
    </w:p>
    <w:p>
      <w:r>
        <w:t>A. MANUFACTURING AND DISTRIBUTION OF PARTICLE BOARDS</w:t>
      </w:r>
    </w:p>
    <w:p>
      <w:r>
        <w:t>1. DELINEATION OF PRODUCT MARKETS</w:t>
      </w:r>
    </w:p>
    <w:p>
      <w:r>
        <w:t>14. Regarding the manufacturing and distribution of particle boards, the European Commission has found that it is appropriate to distinguish between raw particle boards and coated particle boards.</w:t>
      </w:r>
    </w:p>
    <w:p>
      <w:r>
        <w:t>15. Raw particle boards are made from residual products of the wood industry such as chips or sawdust, which are pressed and glued with resin or another binder. Raw particle boards can be covered with a decorative melamine film or printed paper: the final product is then called coated particle board.</w:t>
      </w:r>
    </w:p>
    <w:p>
      <w:r>
        <w:t>2. GEOGRAPHICAL DELINEATION OF MARKETS</w:t>
      </w:r>
    </w:p>
    <w:p>
      <w:r>
        <w:t>16. Concerning raw particle boards, the European Commission noted that, given transportation costs, the relevant geographical market corresponds to an area of 500 kilometers around the production site.</w:t>
      </w:r>
    </w:p>
    <w:p>
      <w:r>
        <w:t>17. As for coated particle boards, considering the significant number of products distributed more than 1000 kilometers from the manufacturing site, the community authority considered that the geographical market was supranational. The Commission indeed specifies that long-distance transport is more cost-effective for coated particle boards, given their higher price, than for raw particle boards.</w:t>
      </w:r>
    </w:p>
    <w:p>
      <w:r>
        <w:t>18. There is no reason to challenge these delineations in the context of the present operation. However, since only the Parisot group is active in the markets for the manufacturing and distribution of particle boards, with a single production site located in Corbenay (Haute-Saône), the market shares calculated at the national level constitute an upper limit and may suffice to eliminate any competition concerns.</w:t>
      </w:r>
    </w:p>
    <w:p>
      <w:r>
        <w:t>B. MANUFACTURING AND DISTRIBUTION OF MODULAR PARTITIONS</w:t>
      </w:r>
    </w:p>
    <w:p>
      <w:r>
        <w:t>1. DELINEATION OF THE PRODUCT MARKET</w:t>
      </w:r>
    </w:p>
    <w:p>
      <w:r>
        <w:t>19. According to national decision-making practice, modular partitions are "partitions that allow for the organization and de-partitioning of open spaces in businesses to create private spaces (for example, offices). The term 'modular partition' is a generic term that encompasses removable partitions and movable partitions."</w:t>
      </w:r>
    </w:p>
    <w:p>
      <w:r>
        <w:t>20. In previous decisions, while leaving the question open, the Minister of Economy considered distinguishing between non-load-bearing walls and modular partitions. Indeed, modular partitions, which are significantly more expensive, have a different function and technique than non-load-bearing walls. They are exclusively intended for professional-use buildings and their installation is quicker and easier to carry out than that of non-load-bearing walls.</w:t>
      </w:r>
    </w:p>
    <w:p>
      <w:r>
        <w:t>21. In any case, in the absence of competitive issues, the question of the exact delineation of the market for the manufacturing and distribution of modular partitions can be left open.</w:t>
      </w:r>
    </w:p>
    <w:p>
      <w:r>
        <w:t>22. In this case, only the Windhurst group is present in the market for the manufacturing and distribution of modular partitions through its subsidiary Groupe Clestra Hauserman.</w:t>
      </w:r>
    </w:p>
    <w:p>
      <w:r>
        <w:t>2. GEOGRAPHICAL DELINEATION OF THE MARKET</w:t>
      </w:r>
    </w:p>
    <w:p>
      <w:r>
        <w:t>23. Regarding the geographical delineation of the manufacturing and distribution of modular partitions, national competition authorities have retained a national market. There is no reason to challenge this delineation in the context of the present operation.</w:t>
      </w:r>
    </w:p>
    <w:p>
      <w:r>
        <w:t>C. MANUFACTURING AND FITTING OF CUSTOM FURNITURE</w:t>
      </w:r>
    </w:p>
    <w:p>
      <w:r>
        <w:t>1. DELINEATION OF THE PRODUCT MARKET</w:t>
      </w:r>
    </w:p>
    <w:p>
      <w:r>
        <w:t>24. The CDC is present in the sector of fitting and manufacturing furniture through the company Sogal. The latter designs, manufactures, and markets primarily sliding facades and custom medium/high-end storage solutions. These products, intended solely for individuals, are marketed by the Sogal group under various brands, such as Sogal, Kendoors, Iliko, Keïko, and Ykario, mainly to retail distributors: either distributors of materials and equipment for the home or large DIY stores.</w:t>
      </w:r>
    </w:p>
    <w:p>
      <w:r>
        <w:t>25. National competition authorities have repeatedly mentioned the activity of manufacturing and fitting custom furniture without, however, ruling on the existence and delineation of a potential corresponding market.</w:t>
      </w:r>
    </w:p>
    <w:p>
      <w:r>
        <w:t>26. In the context of the present operation, the parties consider that it is appropriate to distinguish between, on the one hand, standard furniture sold in specialized large stores ("GSS") such as BUT or Conforama and, on the other hand, custom-made storage solutions. Such a distinction is justified by:</w:t>
        <w:br/>
        <w:t>a significant price difference between the two types of products: custom-made furniture being considerably more expensive;</w:t>
        <w:br/>
        <w:t>different distribution networks;</w:t>
        <w:br/>
        <w:t>dissimilar manufacturing processes (standardized products vs. custom products).</w:t>
      </w:r>
    </w:p>
    <w:p>
      <w:r>
        <w:t>27. In this case, however, in the absence of competitive issues, the question regarding the delineation of a market for the manufacturing and fitting of custom furniture can be left open.</w:t>
      </w:r>
    </w:p>
    <w:p>
      <w:r>
        <w:t>2. THE GEOGRAPHICAL MARKET OF THE MARKET</w:t>
      </w:r>
    </w:p>
    <w:p>
      <w:r>
        <w:t>28. For the analysis of the present operation, the parties proposed to retain a national market. However, the question of the exact geographical delineation of the market for the manufacturing and fitting of custom furniture can be left open, as the operation does not raise any competitive issues.</w:t>
      </w:r>
    </w:p>
    <w:p>
      <w:r>
        <w:t>III. Competitive Analysis</w:t>
      </w:r>
    </w:p>
    <w:p>
      <w:r>
        <w:t>29. The present operation leads to the vertical integration of the upstream activity of manufacturing particle boards carried out by the Parisot group with the downstream activities of the Windhurst group regarding the manufacturing of modular partitions and, on the other hand, of the CDC regarding the manufacturing and fitting of custom furniture.</w:t>
      </w:r>
    </w:p>
    <w:p>
      <w:r>
        <w:t>30. A vertical concentration can restrict competition by making it more difficult for competitors to access the markets in which the new entity will be active,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rPr>
          <w:b/>
        </w:rPr>
        <w:t>[Pages 7–7]</w:t>
      </w:r>
    </w:p>
    <w:p>
      <w:r>
        <w:t>31. The decision-making practice of competition authorities generally dismisses these lock-in risks when the market share of the company resulting from the operation in the relevant markets does not exceed 30%, by analogy with the analysis supporting Regulation (EC) No. 2790/99 concerning the application of Article 81(3) of the EC Treaty, according to which restrictive clauses of competition between a supplier and its distributors do not have effects on the competitive situation of the market if the supplier's market share does not exceed 30%.</w:t>
      </w:r>
    </w:p>
    <w:p>
      <w:r>
        <w:t>32. In this case, according to the data provided by the parties, the market share of the Parisot group regarding the manufacturing and distribution of particle boards amounts to [10-20]% in France. In this market, the Parisot group faces competition notably from Isoroy ([10-20]% market share), Egger ([10-20]% market share), and KronoFrance ([5-10]% market share).</w:t>
      </w:r>
    </w:p>
    <w:p>
      <w:r>
        <w:t>33. Given the difficulties encountered by the parties in collecting reliable data, they have not been able to provide an accurate estimate of their position in the narrower markets of manufacturing and distribution of raw and coated particle boards. However, they estimate that in each of these segments, their market share is below 15%. They further specify that their main competitors are also active in all particle board markets: raw and coated.</w:t>
      </w:r>
    </w:p>
    <w:p>
      <w:r>
        <w:t>34. In the downstream market of manufacturing and distributing modular partitions, the Windhurst group, through its subsidiary Clestra, holds a market share of [10-20]% in France. Its main competitors are Matfor ([10-20]% market share) and Sometta ([5-10]% market share). The parties also indicate that Clestra primarily markets steel partitions and that wood is used only very marginally.</w:t>
      </w:r>
    </w:p>
    <w:p>
      <w:r>
        <w:t>35. Finally, in the downstream market of manufacturing and fitting custom furniture, the parties have not been able to calculate the market share of the company Sogal due to the limited data available. However, they indicate that particle boards represent less than [5-10]% of Sogal's raw material purchases. They also specify that Sogal's main activity, namely the manufacturing of custom closet fronts, constitutes only a modest outlet for the particle board industry.</w:t>
      </w:r>
    </w:p>
    <w:p>
      <w:r>
        <w:t>36. In light of the above, the concentration is not likely to harm competition through vertical effects.</w:t>
      </w:r>
    </w:p>
    <w:p>
      <w:r>
        <w:t>DECIDES</w:t>
      </w:r>
    </w:p>
    <w:p>
      <w:r>
        <w:t>Sole Article: The operation notified under number 10-0227 is authorized.</w:t>
      </w:r>
    </w:p>
    <w:p>
      <w:r>
        <w:t>The President,</w:t>
        <w:br/>
        <w:t>Bruno Lasserre</w:t>
        <w:br/>
        <w:t>Competition Authority</w:t>
      </w:r>
    </w:p>
    <w:p>
      <w:r>
        <w:t>10 Parties' estimates.</w:t>
        <w:br/>
        <w:t>11 Clestra's purchases of wood panels represented less than 5% of its total material purchases in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