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https://www.autoritedelaconcurrence.fr/fr/decision-de-controle-des-concentrations/relative-la-prise-de-controle-exclusif-du-groupe-parot-par</w:t>
      </w:r>
    </w:p>
    <w:p>
      <w:r>
        <w:t>Pages translated : 2</w:t>
      </w:r>
    </w:p>
    <w:p/>
    <w:p>
      <w:r>
        <w:rPr>
          <w:b/>
        </w:rPr>
        <w:t>[Pages 1–2]</w:t>
      </w:r>
    </w:p>
    <w:p>
      <w:r>
        <w:t>FRENCH REPUBLIC</w:t>
        <w:br/>
        <w:t>Decision No. 24-DCC-36 of March 8, 2024</w:t>
        <w:br/>
        <w:t>regarding the exclusive control acquisition of the Parot group by the Tressol-Chabrier group</w:t>
        <w:br/>
        <w:t>The Competition Authority,</w:t>
        <w:br/>
        <w:t>Having regard to the complete notification file sent to the mergers department on February 22, 2024,</w:t>
        <w:br/>
        <w:t>concerning the exclusive control acquisition of the company Groupe Parot, parent company of the Parot group,</w:t>
        <w:br/>
        <w:t>by the company N.D.K., parent company of the Tressol-Chabrier group, formalized by a memorandum</w:t>
        <w:br/>
        <w:t>of understanding dated December 22, 2023;</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Tressol-Chabrier group,</w:t>
        <w:br/>
        <w:t>active in the automotive distribution sector, of the company Groupe Parot, parent company of the</w:t>
        <w:br/>
        <w:t>Parot group, which operates several automotive distribution businesses in the departments of Charente (16), Corrèze (19), Dordogne (24), Gironde (33), Puy-de-Dôme (63), and Haute-Vienne (87). The Parot group is also active in the industrial vehicle distribution sector. This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24-014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